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230" w:type="dxa"/>
        <w:tblLayout w:type="fixed"/>
        <w:tblCellMar>
          <w:left w:w="0" w:type="dxa"/>
          <w:right w:w="0" w:type="dxa"/>
        </w:tblCellMar>
        <w:tblLook w:val="01E0" w:firstRow="1" w:lastRow="1" w:firstColumn="1" w:lastColumn="1" w:noHBand="0" w:noVBand="0"/>
      </w:tblPr>
      <w:tblGrid>
        <w:gridCol w:w="4536"/>
        <w:gridCol w:w="2694"/>
      </w:tblGrid>
      <w:tr w:rsidR="00BC3D77" w:rsidRPr="00FC3F36" w:rsidTr="00B96F7E">
        <w:trPr>
          <w:trHeight w:hRule="exact" w:val="369"/>
        </w:trPr>
        <w:tc>
          <w:tcPr>
            <w:tcW w:w="4536" w:type="dxa"/>
          </w:tcPr>
          <w:p w:rsidR="00BC3D77" w:rsidRPr="00FC3F36" w:rsidRDefault="00D70B1D" w:rsidP="009177CB">
            <w:bookmarkStart w:id="0" w:name="Diarienummer" w:colFirst="1" w:colLast="1"/>
            <w:bookmarkStart w:id="1" w:name="Datum" w:colFirst="0" w:colLast="0"/>
            <w:r w:rsidRPr="00FC3F36">
              <w:t>2014-03-</w:t>
            </w:r>
            <w:r w:rsidR="009177CB" w:rsidRPr="00FC3F36">
              <w:t>12</w:t>
            </w:r>
          </w:p>
        </w:tc>
        <w:tc>
          <w:tcPr>
            <w:tcW w:w="2694" w:type="dxa"/>
          </w:tcPr>
          <w:p w:rsidR="00BC3D77" w:rsidRPr="00FC3F36" w:rsidRDefault="00D70B1D" w:rsidP="00B96F7E">
            <w:pPr>
              <w:jc w:val="right"/>
            </w:pPr>
            <w:r w:rsidRPr="00FC3F36">
              <w:t>Dnr 2014:424</w:t>
            </w:r>
          </w:p>
        </w:tc>
      </w:tr>
      <w:bookmarkEnd w:id="0"/>
      <w:bookmarkEnd w:id="1"/>
      <w:tr w:rsidR="00050843" w:rsidRPr="00FC3F36" w:rsidTr="00B96F7E">
        <w:trPr>
          <w:trHeight w:hRule="exact" w:val="369"/>
        </w:trPr>
        <w:tc>
          <w:tcPr>
            <w:tcW w:w="4536" w:type="dxa"/>
          </w:tcPr>
          <w:p w:rsidR="00050843" w:rsidRPr="00FC3F36" w:rsidRDefault="00050843" w:rsidP="00964A93"/>
        </w:tc>
        <w:tc>
          <w:tcPr>
            <w:tcW w:w="2694" w:type="dxa"/>
          </w:tcPr>
          <w:p w:rsidR="00050843" w:rsidRPr="00FC3F36" w:rsidRDefault="00050843" w:rsidP="00964A93"/>
        </w:tc>
      </w:tr>
      <w:tr w:rsidR="00BC3D77" w:rsidRPr="00FC3F36" w:rsidTr="00B96F7E">
        <w:trPr>
          <w:trHeight w:val="796"/>
        </w:trPr>
        <w:tc>
          <w:tcPr>
            <w:tcW w:w="7230" w:type="dxa"/>
            <w:gridSpan w:val="2"/>
            <w:vAlign w:val="bottom"/>
          </w:tcPr>
          <w:p w:rsidR="00BC3D77" w:rsidRPr="00FC3F36" w:rsidRDefault="00D70B1D" w:rsidP="00D70B1D">
            <w:pPr>
              <w:pStyle w:val="FormatmallPMrubrik14pt"/>
            </w:pPr>
            <w:bookmarkStart w:id="2" w:name="Rubrik" w:colFirst="0" w:colLast="0"/>
            <w:r w:rsidRPr="00FC3F36">
              <w:t>Rapport från utredningstjänsten</w:t>
            </w:r>
          </w:p>
        </w:tc>
      </w:tr>
    </w:tbl>
    <w:p w:rsidR="00D70B1D" w:rsidRPr="00FC3F36" w:rsidRDefault="00D70B1D" w:rsidP="00D70B1D">
      <w:pPr>
        <w:pStyle w:val="Rubrik1"/>
      </w:pPr>
      <w:bookmarkStart w:id="3" w:name="Start"/>
      <w:bookmarkEnd w:id="2"/>
      <w:bookmarkEnd w:id="3"/>
      <w:r w:rsidRPr="00FC3F36">
        <w:t>PENSIONÄRERNAS KÖPKRAFT</w:t>
      </w:r>
    </w:p>
    <w:p w:rsidR="00D70B1D" w:rsidRPr="00FC3F36" w:rsidRDefault="00D70B1D" w:rsidP="00D70B1D">
      <w:pPr>
        <w:rPr>
          <w:i/>
        </w:rPr>
      </w:pPr>
      <w:r w:rsidRPr="00FC3F36">
        <w:rPr>
          <w:i/>
        </w:rPr>
        <w:t>Beskrivning av pensionärernas reala köpkraft</w:t>
      </w:r>
      <w:r w:rsidR="009177CB" w:rsidRPr="00FC3F36">
        <w:rPr>
          <w:i/>
        </w:rPr>
        <w:t>s</w:t>
      </w:r>
      <w:r w:rsidRPr="00FC3F36">
        <w:rPr>
          <w:i/>
        </w:rPr>
        <w:t xml:space="preserve">utveckling sedan 2006 fram </w:t>
      </w:r>
      <w:r w:rsidR="007F1CAE">
        <w:rPr>
          <w:i/>
        </w:rPr>
        <w:t xml:space="preserve">till </w:t>
      </w:r>
      <w:r w:rsidRPr="00FC3F36">
        <w:rPr>
          <w:i/>
        </w:rPr>
        <w:t xml:space="preserve">2014. Det som beskrivs är pensionens utveckling </w:t>
      </w:r>
      <w:r w:rsidR="00F749C2" w:rsidRPr="00FC3F36">
        <w:rPr>
          <w:i/>
        </w:rPr>
        <w:t xml:space="preserve">med hänsyn tagen till </w:t>
      </w:r>
      <w:r w:rsidRPr="00FC3F36">
        <w:rPr>
          <w:i/>
        </w:rPr>
        <w:t xml:space="preserve">inkomstskattens storlek </w:t>
      </w:r>
      <w:r w:rsidR="00F749C2" w:rsidRPr="00FC3F36">
        <w:rPr>
          <w:i/>
        </w:rPr>
        <w:t>och</w:t>
      </w:r>
      <w:r w:rsidRPr="00FC3F36">
        <w:rPr>
          <w:i/>
        </w:rPr>
        <w:t xml:space="preserve"> inflationen för fyra typfall; garantipension</w:t>
      </w:r>
      <w:r w:rsidR="009177CB" w:rsidRPr="00FC3F36">
        <w:rPr>
          <w:i/>
        </w:rPr>
        <w:t>är,</w:t>
      </w:r>
      <w:r w:rsidRPr="00FC3F36">
        <w:rPr>
          <w:i/>
        </w:rPr>
        <w:t xml:space="preserve"> inkomstpensionär med 10 000 kr, 15 000 kr respektive 20 000 kr </w:t>
      </w:r>
      <w:r w:rsidR="009177CB" w:rsidRPr="00FC3F36">
        <w:rPr>
          <w:i/>
        </w:rPr>
        <w:t xml:space="preserve">per månad </w:t>
      </w:r>
      <w:r w:rsidRPr="00FC3F36">
        <w:rPr>
          <w:i/>
        </w:rPr>
        <w:t>i pension år 2006.</w:t>
      </w:r>
    </w:p>
    <w:p w:rsidR="003A1B7B" w:rsidRPr="00FC3F36" w:rsidRDefault="003A1B7B" w:rsidP="00D70B1D"/>
    <w:p w:rsidR="00282F8B" w:rsidRPr="00FC3F36" w:rsidRDefault="00282F8B" w:rsidP="00282F8B">
      <w:r w:rsidRPr="00FC3F36">
        <w:t xml:space="preserve">I rapporten beräknas </w:t>
      </w:r>
      <w:r w:rsidR="00564A94" w:rsidRPr="00FC3F36">
        <w:t xml:space="preserve">pensionens </w:t>
      </w:r>
      <w:r w:rsidRPr="00FC3F36">
        <w:t xml:space="preserve">utveckling efter skatt under perioden 2006-2014. Utredningstjänsten har endast tagit hänsyn till inkomster genom </w:t>
      </w:r>
      <w:r w:rsidRPr="00FC3F36">
        <w:rPr>
          <w:i/>
        </w:rPr>
        <w:t>garantipension</w:t>
      </w:r>
      <w:r w:rsidRPr="00FC3F36">
        <w:t xml:space="preserve"> respektive </w:t>
      </w:r>
      <w:r w:rsidRPr="00FC3F36">
        <w:rPr>
          <w:i/>
        </w:rPr>
        <w:t>inkomstpension</w:t>
      </w:r>
      <w:r w:rsidRPr="00FC3F36">
        <w:t>.</w:t>
      </w:r>
      <w:r w:rsidR="00564A94" w:rsidRPr="00FC3F36">
        <w:t xml:space="preserve"> Hänsyn har inte tagits till premiepension, tjänstepension, privat pension samt bostadstillägg och äldreförsörjningsstöd.</w:t>
      </w:r>
    </w:p>
    <w:p w:rsidR="003606D6" w:rsidRPr="00FC3F36" w:rsidRDefault="003606D6">
      <w:pPr>
        <w:tabs>
          <w:tab w:val="clear" w:pos="284"/>
        </w:tabs>
        <w:spacing w:after="0" w:line="240" w:lineRule="auto"/>
      </w:pPr>
    </w:p>
    <w:p w:rsidR="00742ECC" w:rsidRPr="00FC3F36" w:rsidRDefault="003606D6" w:rsidP="00D70B1D">
      <w:r w:rsidRPr="00FC3F36">
        <w:t>I beräkningen av pensionens utveckling har följande</w:t>
      </w:r>
      <w:r w:rsidR="00742ECC" w:rsidRPr="00FC3F36">
        <w:t xml:space="preserve"> typfall använ</w:t>
      </w:r>
      <w:r w:rsidRPr="00FC3F36">
        <w:t>t</w:t>
      </w:r>
      <w:r w:rsidR="00742ECC" w:rsidRPr="00FC3F36">
        <w:t>s</w:t>
      </w:r>
      <w:r w:rsidR="009177CB" w:rsidRPr="00FC3F36">
        <w:t>:</w:t>
      </w:r>
    </w:p>
    <w:p w:rsidR="00742ECC" w:rsidRPr="00FC3F36" w:rsidRDefault="00742ECC" w:rsidP="00742ECC">
      <w:pPr>
        <w:pStyle w:val="Liststycke"/>
        <w:numPr>
          <w:ilvl w:val="0"/>
          <w:numId w:val="21"/>
        </w:numPr>
      </w:pPr>
      <w:r w:rsidRPr="00FC3F36">
        <w:t>En ogift person med full garantipension, 7 047 kr/månad år 2006.</w:t>
      </w:r>
      <w:r w:rsidRPr="00FC3F36">
        <w:rPr>
          <w:rStyle w:val="Fotnotsreferens"/>
        </w:rPr>
        <w:footnoteReference w:id="1"/>
      </w:r>
    </w:p>
    <w:p w:rsidR="00742ECC" w:rsidRPr="00FC3F36" w:rsidRDefault="009177CB" w:rsidP="00742ECC">
      <w:pPr>
        <w:pStyle w:val="Liststycke"/>
        <w:numPr>
          <w:ilvl w:val="0"/>
          <w:numId w:val="21"/>
        </w:numPr>
      </w:pPr>
      <w:r w:rsidRPr="00FC3F36">
        <w:t>En p</w:t>
      </w:r>
      <w:r w:rsidR="00742ECC" w:rsidRPr="00FC3F36">
        <w:t>erson med en inkomstpension på 10 000 kr/månad år 2006.</w:t>
      </w:r>
    </w:p>
    <w:p w:rsidR="00742ECC" w:rsidRPr="00FC3F36" w:rsidRDefault="009177CB" w:rsidP="00742ECC">
      <w:pPr>
        <w:pStyle w:val="Liststycke"/>
        <w:numPr>
          <w:ilvl w:val="0"/>
          <w:numId w:val="21"/>
        </w:numPr>
      </w:pPr>
      <w:r w:rsidRPr="00FC3F36">
        <w:t>En p</w:t>
      </w:r>
      <w:r w:rsidR="00742ECC" w:rsidRPr="00FC3F36">
        <w:t>erson med en inkomstpension på 15 000 kr/månad år 2006.</w:t>
      </w:r>
    </w:p>
    <w:p w:rsidR="00742ECC" w:rsidRPr="00FC3F36" w:rsidRDefault="009177CB" w:rsidP="00742ECC">
      <w:pPr>
        <w:pStyle w:val="Liststycke"/>
        <w:numPr>
          <w:ilvl w:val="0"/>
          <w:numId w:val="21"/>
        </w:numPr>
      </w:pPr>
      <w:r w:rsidRPr="00FC3F36">
        <w:t>En p</w:t>
      </w:r>
      <w:r w:rsidR="00742ECC" w:rsidRPr="00FC3F36">
        <w:t>erson med en inkomstpension på 20 000 kr/månad år 2006.</w:t>
      </w:r>
    </w:p>
    <w:p w:rsidR="00742ECC" w:rsidRPr="00FC3F36" w:rsidRDefault="00742ECC" w:rsidP="00742ECC">
      <w:r w:rsidRPr="00FC3F36">
        <w:t>I beräkningarna har gällande regler</w:t>
      </w:r>
      <w:r w:rsidR="009177CB" w:rsidRPr="00FC3F36">
        <w:t xml:space="preserve"> använts</w:t>
      </w:r>
      <w:r w:rsidRPr="00FC3F36">
        <w:t xml:space="preserve"> för</w:t>
      </w:r>
      <w:r w:rsidR="009177CB" w:rsidRPr="00FC3F36">
        <w:t>;</w:t>
      </w:r>
      <w:r w:rsidRPr="00FC3F36">
        <w:t xml:space="preserve"> årlig justering av pensionerna, grundavdrag, grundavdragstillägg, förhöjt grundavdrag samt genomsnittlig kommunal skattesats respektive år i enlighet med Finansdepartementets beräkningskonventioner.</w:t>
      </w:r>
      <w:r w:rsidRPr="00FC3F36">
        <w:rPr>
          <w:rStyle w:val="Fotnotsreferens"/>
        </w:rPr>
        <w:footnoteReference w:id="2"/>
      </w:r>
    </w:p>
    <w:p w:rsidR="00C7328E" w:rsidRPr="00FC3F36" w:rsidRDefault="00C7328E">
      <w:pPr>
        <w:tabs>
          <w:tab w:val="clear" w:pos="284"/>
        </w:tabs>
        <w:spacing w:after="0" w:line="240" w:lineRule="auto"/>
      </w:pPr>
      <w:r w:rsidRPr="00FC3F36">
        <w:br w:type="page"/>
      </w:r>
    </w:p>
    <w:p w:rsidR="00595274" w:rsidRPr="00FC3F36" w:rsidRDefault="00595274" w:rsidP="00D70B1D"/>
    <w:p w:rsidR="00F73A32" w:rsidRPr="00FC3F36" w:rsidRDefault="00F73A32" w:rsidP="007F1CAE">
      <w:pPr>
        <w:pStyle w:val="Beskrivning"/>
        <w:ind w:right="538"/>
        <w:rPr>
          <w:b/>
          <w:sz w:val="22"/>
          <w:szCs w:val="22"/>
        </w:rPr>
      </w:pPr>
      <w:r w:rsidRPr="00FC3F36">
        <w:rPr>
          <w:b/>
          <w:sz w:val="22"/>
          <w:szCs w:val="22"/>
        </w:rPr>
        <w:t xml:space="preserve">Tabell </w:t>
      </w:r>
      <w:r w:rsidRPr="00FC3F36">
        <w:rPr>
          <w:b/>
          <w:sz w:val="22"/>
          <w:szCs w:val="22"/>
        </w:rPr>
        <w:fldChar w:fldCharType="begin"/>
      </w:r>
      <w:r w:rsidRPr="00FC3F36">
        <w:rPr>
          <w:b/>
          <w:sz w:val="22"/>
          <w:szCs w:val="22"/>
        </w:rPr>
        <w:instrText xml:space="preserve"> SEQ Tabell \* ARABIC </w:instrText>
      </w:r>
      <w:r w:rsidRPr="00FC3F36">
        <w:rPr>
          <w:b/>
          <w:sz w:val="22"/>
          <w:szCs w:val="22"/>
        </w:rPr>
        <w:fldChar w:fldCharType="separate"/>
      </w:r>
      <w:r w:rsidR="009974A4" w:rsidRPr="00FC3F36">
        <w:rPr>
          <w:b/>
          <w:noProof/>
          <w:sz w:val="22"/>
          <w:szCs w:val="22"/>
        </w:rPr>
        <w:t>1</w:t>
      </w:r>
      <w:r w:rsidRPr="00FC3F36">
        <w:rPr>
          <w:b/>
          <w:sz w:val="22"/>
          <w:szCs w:val="22"/>
        </w:rPr>
        <w:fldChar w:fldCharType="end"/>
      </w:r>
      <w:r w:rsidRPr="00FC3F36">
        <w:rPr>
          <w:b/>
          <w:sz w:val="22"/>
          <w:szCs w:val="22"/>
        </w:rPr>
        <w:t xml:space="preserve"> Utveckling av pensionen</w:t>
      </w:r>
      <w:r w:rsidR="00742ECC" w:rsidRPr="00FC3F36">
        <w:rPr>
          <w:b/>
          <w:sz w:val="22"/>
          <w:szCs w:val="22"/>
        </w:rPr>
        <w:t xml:space="preserve"> per månad</w:t>
      </w:r>
      <w:r w:rsidRPr="00FC3F36">
        <w:rPr>
          <w:b/>
          <w:sz w:val="22"/>
          <w:szCs w:val="22"/>
        </w:rPr>
        <w:t xml:space="preserve"> efter skatt</w:t>
      </w:r>
      <w:r w:rsidR="00742ECC" w:rsidRPr="00FC3F36">
        <w:rPr>
          <w:b/>
          <w:sz w:val="22"/>
          <w:szCs w:val="22"/>
        </w:rPr>
        <w:t xml:space="preserve"> </w:t>
      </w:r>
      <w:r w:rsidR="00BC361B" w:rsidRPr="00FC3F36">
        <w:rPr>
          <w:b/>
          <w:sz w:val="22"/>
          <w:szCs w:val="22"/>
        </w:rPr>
        <w:t xml:space="preserve">för fyra typfall, </w:t>
      </w:r>
      <w:r w:rsidRPr="00FC3F36">
        <w:rPr>
          <w:b/>
          <w:sz w:val="22"/>
          <w:szCs w:val="22"/>
        </w:rPr>
        <w:t>2006-201</w:t>
      </w:r>
      <w:r w:rsidR="003A1B7B" w:rsidRPr="00FC3F36">
        <w:rPr>
          <w:b/>
          <w:sz w:val="22"/>
          <w:szCs w:val="22"/>
        </w:rPr>
        <w:t>4</w:t>
      </w:r>
      <w:r w:rsidRPr="00FC3F36">
        <w:rPr>
          <w:b/>
          <w:sz w:val="22"/>
          <w:szCs w:val="22"/>
        </w:rPr>
        <w:t xml:space="preserve">, fasta priser </w:t>
      </w:r>
      <w:r w:rsidR="003A1B7B" w:rsidRPr="00FC3F36">
        <w:rPr>
          <w:b/>
          <w:sz w:val="22"/>
          <w:szCs w:val="22"/>
        </w:rPr>
        <w:t>2013</w:t>
      </w:r>
      <w:r w:rsidRPr="00FC3F36">
        <w:rPr>
          <w:b/>
          <w:sz w:val="22"/>
          <w:szCs w:val="22"/>
        </w:rPr>
        <w:t xml:space="preserve"> års prisnivå</w:t>
      </w:r>
      <w:r w:rsidR="009177CB" w:rsidRPr="00FC3F36">
        <w:rPr>
          <w:b/>
          <w:sz w:val="22"/>
          <w:szCs w:val="22"/>
        </w:rPr>
        <w:t>, kronor</w:t>
      </w:r>
    </w:p>
    <w:tbl>
      <w:tblPr>
        <w:tblStyle w:val="Ljusskuggning-dekorfrg1"/>
        <w:tblW w:w="10087" w:type="dxa"/>
        <w:tblInd w:w="-851" w:type="dxa"/>
        <w:tblLook w:val="0620" w:firstRow="1" w:lastRow="0" w:firstColumn="0" w:lastColumn="0" w:noHBand="1" w:noVBand="1"/>
      </w:tblPr>
      <w:tblGrid>
        <w:gridCol w:w="2466"/>
        <w:gridCol w:w="829"/>
        <w:gridCol w:w="830"/>
        <w:gridCol w:w="830"/>
        <w:gridCol w:w="830"/>
        <w:gridCol w:w="830"/>
        <w:gridCol w:w="868"/>
        <w:gridCol w:w="868"/>
        <w:gridCol w:w="868"/>
        <w:gridCol w:w="868"/>
      </w:tblGrid>
      <w:tr w:rsidR="003A1B7B" w:rsidRPr="00FC3F36" w:rsidTr="007F75D2">
        <w:trPr>
          <w:cnfStyle w:val="100000000000" w:firstRow="1" w:lastRow="0" w:firstColumn="0" w:lastColumn="0" w:oddVBand="0" w:evenVBand="0" w:oddHBand="0" w:evenHBand="0" w:firstRowFirstColumn="0" w:firstRowLastColumn="0" w:lastRowFirstColumn="0" w:lastRowLastColumn="0"/>
        </w:trPr>
        <w:tc>
          <w:tcPr>
            <w:tcW w:w="2466" w:type="dxa"/>
            <w:noWrap/>
          </w:tcPr>
          <w:p w:rsidR="00F73A32" w:rsidRPr="00FC3F36" w:rsidRDefault="003A1B7B">
            <w:pPr>
              <w:rPr>
                <w:sz w:val="20"/>
                <w:szCs w:val="20"/>
              </w:rPr>
            </w:pPr>
            <w:r w:rsidRPr="00FC3F36">
              <w:rPr>
                <w:sz w:val="20"/>
                <w:szCs w:val="20"/>
              </w:rPr>
              <w:t>Typfall</w:t>
            </w:r>
          </w:p>
        </w:tc>
        <w:tc>
          <w:tcPr>
            <w:tcW w:w="829" w:type="dxa"/>
          </w:tcPr>
          <w:p w:rsidR="00F73A32" w:rsidRPr="00FC3F36" w:rsidRDefault="00F73A32" w:rsidP="003A1B7B">
            <w:pPr>
              <w:jc w:val="center"/>
              <w:rPr>
                <w:sz w:val="20"/>
                <w:szCs w:val="20"/>
              </w:rPr>
            </w:pPr>
            <w:r w:rsidRPr="00FC3F36">
              <w:rPr>
                <w:sz w:val="20"/>
                <w:szCs w:val="20"/>
              </w:rPr>
              <w:t>2006</w:t>
            </w:r>
          </w:p>
        </w:tc>
        <w:tc>
          <w:tcPr>
            <w:tcW w:w="830" w:type="dxa"/>
          </w:tcPr>
          <w:p w:rsidR="00F73A32" w:rsidRPr="00FC3F36" w:rsidRDefault="00F73A32" w:rsidP="003A1B7B">
            <w:pPr>
              <w:jc w:val="center"/>
              <w:rPr>
                <w:sz w:val="20"/>
                <w:szCs w:val="20"/>
              </w:rPr>
            </w:pPr>
            <w:r w:rsidRPr="00FC3F36">
              <w:rPr>
                <w:sz w:val="20"/>
                <w:szCs w:val="20"/>
              </w:rPr>
              <w:t>2007</w:t>
            </w:r>
          </w:p>
        </w:tc>
        <w:tc>
          <w:tcPr>
            <w:tcW w:w="830" w:type="dxa"/>
          </w:tcPr>
          <w:p w:rsidR="00F73A32" w:rsidRPr="00FC3F36" w:rsidRDefault="00F73A32" w:rsidP="003A1B7B">
            <w:pPr>
              <w:jc w:val="center"/>
              <w:rPr>
                <w:sz w:val="20"/>
                <w:szCs w:val="20"/>
              </w:rPr>
            </w:pPr>
            <w:r w:rsidRPr="00FC3F36">
              <w:rPr>
                <w:sz w:val="20"/>
                <w:szCs w:val="20"/>
              </w:rPr>
              <w:t>2008</w:t>
            </w:r>
          </w:p>
        </w:tc>
        <w:tc>
          <w:tcPr>
            <w:tcW w:w="830" w:type="dxa"/>
          </w:tcPr>
          <w:p w:rsidR="00F73A32" w:rsidRPr="00FC3F36" w:rsidRDefault="00F73A32" w:rsidP="003A1B7B">
            <w:pPr>
              <w:jc w:val="center"/>
              <w:rPr>
                <w:sz w:val="20"/>
                <w:szCs w:val="20"/>
              </w:rPr>
            </w:pPr>
            <w:r w:rsidRPr="00FC3F36">
              <w:rPr>
                <w:sz w:val="20"/>
                <w:szCs w:val="20"/>
              </w:rPr>
              <w:t>2009</w:t>
            </w:r>
          </w:p>
        </w:tc>
        <w:tc>
          <w:tcPr>
            <w:tcW w:w="830" w:type="dxa"/>
          </w:tcPr>
          <w:p w:rsidR="00F73A32" w:rsidRPr="00FC3F36" w:rsidRDefault="00F73A32" w:rsidP="003A1B7B">
            <w:pPr>
              <w:jc w:val="center"/>
              <w:rPr>
                <w:sz w:val="20"/>
                <w:szCs w:val="20"/>
              </w:rPr>
            </w:pPr>
            <w:r w:rsidRPr="00FC3F36">
              <w:rPr>
                <w:sz w:val="20"/>
                <w:szCs w:val="20"/>
              </w:rPr>
              <w:t>2010</w:t>
            </w:r>
          </w:p>
        </w:tc>
        <w:tc>
          <w:tcPr>
            <w:tcW w:w="868" w:type="dxa"/>
          </w:tcPr>
          <w:p w:rsidR="00F73A32" w:rsidRPr="00FC3F36" w:rsidRDefault="00F73A32" w:rsidP="003A1B7B">
            <w:pPr>
              <w:jc w:val="center"/>
              <w:rPr>
                <w:sz w:val="20"/>
                <w:szCs w:val="20"/>
              </w:rPr>
            </w:pPr>
            <w:r w:rsidRPr="00FC3F36">
              <w:rPr>
                <w:sz w:val="20"/>
                <w:szCs w:val="20"/>
              </w:rPr>
              <w:t>2011</w:t>
            </w:r>
          </w:p>
        </w:tc>
        <w:tc>
          <w:tcPr>
            <w:tcW w:w="868" w:type="dxa"/>
          </w:tcPr>
          <w:p w:rsidR="00F73A32" w:rsidRPr="00FC3F36" w:rsidRDefault="00F73A32" w:rsidP="003A1B7B">
            <w:pPr>
              <w:jc w:val="center"/>
              <w:rPr>
                <w:sz w:val="20"/>
                <w:szCs w:val="20"/>
              </w:rPr>
            </w:pPr>
            <w:r w:rsidRPr="00FC3F36">
              <w:rPr>
                <w:sz w:val="20"/>
                <w:szCs w:val="20"/>
              </w:rPr>
              <w:t>2012</w:t>
            </w:r>
          </w:p>
        </w:tc>
        <w:tc>
          <w:tcPr>
            <w:tcW w:w="868" w:type="dxa"/>
          </w:tcPr>
          <w:p w:rsidR="00F73A32" w:rsidRPr="00FC3F36" w:rsidRDefault="00F73A32" w:rsidP="003A1B7B">
            <w:pPr>
              <w:jc w:val="center"/>
              <w:rPr>
                <w:sz w:val="20"/>
                <w:szCs w:val="20"/>
              </w:rPr>
            </w:pPr>
            <w:r w:rsidRPr="00FC3F36">
              <w:rPr>
                <w:sz w:val="20"/>
                <w:szCs w:val="20"/>
              </w:rPr>
              <w:t>2013</w:t>
            </w:r>
          </w:p>
        </w:tc>
        <w:tc>
          <w:tcPr>
            <w:tcW w:w="868" w:type="dxa"/>
          </w:tcPr>
          <w:p w:rsidR="00F73A32" w:rsidRPr="00FC3F36" w:rsidRDefault="00F73A32" w:rsidP="003A1B7B">
            <w:pPr>
              <w:jc w:val="center"/>
              <w:rPr>
                <w:sz w:val="20"/>
                <w:szCs w:val="20"/>
              </w:rPr>
            </w:pPr>
            <w:r w:rsidRPr="00FC3F36">
              <w:rPr>
                <w:sz w:val="20"/>
                <w:szCs w:val="20"/>
              </w:rPr>
              <w:t>2014</w:t>
            </w:r>
            <w:r w:rsidR="009177CB" w:rsidRPr="00FC3F36">
              <w:rPr>
                <w:sz w:val="20"/>
                <w:szCs w:val="20"/>
              </w:rPr>
              <w:t>*</w:t>
            </w:r>
          </w:p>
        </w:tc>
      </w:tr>
      <w:tr w:rsidR="00C611EC" w:rsidRPr="00FC3F36" w:rsidTr="007F75D2">
        <w:tc>
          <w:tcPr>
            <w:tcW w:w="2466" w:type="dxa"/>
            <w:noWrap/>
          </w:tcPr>
          <w:p w:rsidR="00C611EC" w:rsidRPr="00FC3F36" w:rsidRDefault="00C611EC" w:rsidP="00C611EC">
            <w:pPr>
              <w:rPr>
                <w:sz w:val="20"/>
                <w:szCs w:val="20"/>
              </w:rPr>
            </w:pPr>
            <w:r w:rsidRPr="00FC3F36">
              <w:rPr>
                <w:sz w:val="20"/>
                <w:szCs w:val="20"/>
              </w:rPr>
              <w:t>Garantipension (ogift)</w:t>
            </w:r>
          </w:p>
        </w:tc>
        <w:tc>
          <w:tcPr>
            <w:tcW w:w="829" w:type="dxa"/>
            <w:vAlign w:val="bottom"/>
          </w:tcPr>
          <w:p w:rsidR="00C611EC" w:rsidRPr="00FC3F36" w:rsidRDefault="00C611EC" w:rsidP="00C611EC">
            <w:pPr>
              <w:jc w:val="right"/>
            </w:pPr>
            <w:r w:rsidRPr="00FC3F36">
              <w:t>6 100</w:t>
            </w:r>
          </w:p>
        </w:tc>
        <w:tc>
          <w:tcPr>
            <w:tcW w:w="830" w:type="dxa"/>
            <w:vAlign w:val="bottom"/>
          </w:tcPr>
          <w:p w:rsidR="00C611EC" w:rsidRPr="00FC3F36" w:rsidRDefault="00C611EC" w:rsidP="00C611EC">
            <w:pPr>
              <w:jc w:val="right"/>
            </w:pPr>
            <w:r w:rsidRPr="00FC3F36">
              <w:t>6 000</w:t>
            </w:r>
          </w:p>
        </w:tc>
        <w:tc>
          <w:tcPr>
            <w:tcW w:w="830" w:type="dxa"/>
            <w:vAlign w:val="bottom"/>
          </w:tcPr>
          <w:p w:rsidR="00C611EC" w:rsidRPr="00FC3F36" w:rsidRDefault="00C611EC" w:rsidP="00C611EC">
            <w:pPr>
              <w:jc w:val="right"/>
            </w:pPr>
            <w:r w:rsidRPr="00FC3F36">
              <w:t>5 900</w:t>
            </w:r>
          </w:p>
        </w:tc>
        <w:tc>
          <w:tcPr>
            <w:tcW w:w="830" w:type="dxa"/>
            <w:vAlign w:val="bottom"/>
          </w:tcPr>
          <w:p w:rsidR="00C611EC" w:rsidRPr="00FC3F36" w:rsidRDefault="00C611EC" w:rsidP="00C611EC">
            <w:pPr>
              <w:jc w:val="right"/>
            </w:pPr>
            <w:r w:rsidRPr="00FC3F36">
              <w:t>6 500</w:t>
            </w:r>
          </w:p>
        </w:tc>
        <w:tc>
          <w:tcPr>
            <w:tcW w:w="830" w:type="dxa"/>
            <w:vAlign w:val="bottom"/>
          </w:tcPr>
          <w:p w:rsidR="00C611EC" w:rsidRPr="00FC3F36" w:rsidRDefault="00C611EC" w:rsidP="00C611EC">
            <w:pPr>
              <w:jc w:val="right"/>
            </w:pPr>
            <w:r w:rsidRPr="00FC3F36">
              <w:t>6 400</w:t>
            </w:r>
          </w:p>
        </w:tc>
        <w:tc>
          <w:tcPr>
            <w:tcW w:w="868" w:type="dxa"/>
            <w:vAlign w:val="bottom"/>
          </w:tcPr>
          <w:p w:rsidR="00C611EC" w:rsidRPr="00FC3F36" w:rsidRDefault="00C611EC" w:rsidP="00C611EC">
            <w:pPr>
              <w:jc w:val="right"/>
            </w:pPr>
            <w:r w:rsidRPr="00FC3F36">
              <w:t>6 500</w:t>
            </w:r>
          </w:p>
        </w:tc>
        <w:tc>
          <w:tcPr>
            <w:tcW w:w="868" w:type="dxa"/>
            <w:vAlign w:val="bottom"/>
          </w:tcPr>
          <w:p w:rsidR="00C611EC" w:rsidRPr="00FC3F36" w:rsidRDefault="00C611EC" w:rsidP="00C611EC">
            <w:pPr>
              <w:jc w:val="right"/>
            </w:pPr>
            <w:r w:rsidRPr="00FC3F36">
              <w:t>6 600</w:t>
            </w:r>
          </w:p>
        </w:tc>
        <w:tc>
          <w:tcPr>
            <w:tcW w:w="868" w:type="dxa"/>
            <w:vAlign w:val="bottom"/>
          </w:tcPr>
          <w:p w:rsidR="00C611EC" w:rsidRPr="00FC3F36" w:rsidRDefault="00C611EC" w:rsidP="00C611EC">
            <w:pPr>
              <w:jc w:val="right"/>
            </w:pPr>
            <w:r w:rsidRPr="00FC3F36">
              <w:t>6 700</w:t>
            </w:r>
          </w:p>
        </w:tc>
        <w:tc>
          <w:tcPr>
            <w:tcW w:w="868" w:type="dxa"/>
            <w:vAlign w:val="bottom"/>
          </w:tcPr>
          <w:p w:rsidR="00C611EC" w:rsidRPr="00FC3F36" w:rsidRDefault="00C611EC" w:rsidP="00C611EC">
            <w:pPr>
              <w:jc w:val="right"/>
            </w:pPr>
            <w:r w:rsidRPr="00FC3F36">
              <w:t>6 700</w:t>
            </w:r>
          </w:p>
        </w:tc>
      </w:tr>
      <w:tr w:rsidR="00C611EC" w:rsidRPr="00FC3F36" w:rsidTr="007F75D2">
        <w:tc>
          <w:tcPr>
            <w:tcW w:w="2466" w:type="dxa"/>
            <w:noWrap/>
          </w:tcPr>
          <w:p w:rsidR="00C611EC" w:rsidRPr="00FC3F36" w:rsidRDefault="00C611EC" w:rsidP="00C611EC">
            <w:pPr>
              <w:rPr>
                <w:sz w:val="20"/>
                <w:szCs w:val="20"/>
              </w:rPr>
            </w:pPr>
            <w:r w:rsidRPr="00FC3F36">
              <w:rPr>
                <w:sz w:val="20"/>
                <w:szCs w:val="20"/>
              </w:rPr>
              <w:t>Inkomstpension 10 000 kr</w:t>
            </w:r>
          </w:p>
        </w:tc>
        <w:tc>
          <w:tcPr>
            <w:tcW w:w="829" w:type="dxa"/>
            <w:vAlign w:val="bottom"/>
          </w:tcPr>
          <w:p w:rsidR="00C611EC" w:rsidRPr="00FC3F36" w:rsidRDefault="00C611EC" w:rsidP="00C611EC">
            <w:pPr>
              <w:jc w:val="right"/>
            </w:pPr>
            <w:r w:rsidRPr="00FC3F36">
              <w:t>8 400</w:t>
            </w:r>
          </w:p>
        </w:tc>
        <w:tc>
          <w:tcPr>
            <w:tcW w:w="830" w:type="dxa"/>
            <w:vAlign w:val="bottom"/>
          </w:tcPr>
          <w:p w:rsidR="00C611EC" w:rsidRPr="00FC3F36" w:rsidRDefault="00C611EC" w:rsidP="00C611EC">
            <w:pPr>
              <w:jc w:val="right"/>
            </w:pPr>
            <w:r w:rsidRPr="00FC3F36">
              <w:t>8 400</w:t>
            </w:r>
          </w:p>
        </w:tc>
        <w:tc>
          <w:tcPr>
            <w:tcW w:w="830" w:type="dxa"/>
            <w:vAlign w:val="bottom"/>
          </w:tcPr>
          <w:p w:rsidR="00C611EC" w:rsidRPr="00FC3F36" w:rsidRDefault="00C611EC" w:rsidP="00C611EC">
            <w:pPr>
              <w:jc w:val="right"/>
            </w:pPr>
            <w:r w:rsidRPr="00FC3F36">
              <w:t>8 300</w:t>
            </w:r>
          </w:p>
        </w:tc>
        <w:tc>
          <w:tcPr>
            <w:tcW w:w="830" w:type="dxa"/>
            <w:vAlign w:val="bottom"/>
          </w:tcPr>
          <w:p w:rsidR="00C611EC" w:rsidRPr="00FC3F36" w:rsidRDefault="00C611EC" w:rsidP="00C611EC">
            <w:pPr>
              <w:jc w:val="right"/>
            </w:pPr>
            <w:r w:rsidRPr="00FC3F36">
              <w:t>8 800</w:t>
            </w:r>
          </w:p>
        </w:tc>
        <w:tc>
          <w:tcPr>
            <w:tcW w:w="830" w:type="dxa"/>
            <w:vAlign w:val="bottom"/>
          </w:tcPr>
          <w:p w:rsidR="00C611EC" w:rsidRPr="00FC3F36" w:rsidRDefault="00C611EC" w:rsidP="00C611EC">
            <w:pPr>
              <w:jc w:val="right"/>
            </w:pPr>
            <w:r w:rsidRPr="00FC3F36">
              <w:t>8 600</w:t>
            </w:r>
          </w:p>
        </w:tc>
        <w:tc>
          <w:tcPr>
            <w:tcW w:w="868" w:type="dxa"/>
            <w:vAlign w:val="bottom"/>
          </w:tcPr>
          <w:p w:rsidR="00C611EC" w:rsidRPr="00FC3F36" w:rsidRDefault="00C611EC" w:rsidP="00C611EC">
            <w:pPr>
              <w:jc w:val="right"/>
            </w:pPr>
            <w:r w:rsidRPr="00FC3F36">
              <w:t>8 300</w:t>
            </w:r>
          </w:p>
        </w:tc>
        <w:tc>
          <w:tcPr>
            <w:tcW w:w="868" w:type="dxa"/>
            <w:vAlign w:val="bottom"/>
          </w:tcPr>
          <w:p w:rsidR="00C611EC" w:rsidRPr="00FC3F36" w:rsidRDefault="00C611EC" w:rsidP="00C611EC">
            <w:pPr>
              <w:jc w:val="right"/>
            </w:pPr>
            <w:r w:rsidRPr="00FC3F36">
              <w:t>8 500</w:t>
            </w:r>
          </w:p>
        </w:tc>
        <w:tc>
          <w:tcPr>
            <w:tcW w:w="868" w:type="dxa"/>
            <w:vAlign w:val="bottom"/>
          </w:tcPr>
          <w:p w:rsidR="00C611EC" w:rsidRPr="00FC3F36" w:rsidRDefault="00C611EC" w:rsidP="00C611EC">
            <w:pPr>
              <w:jc w:val="right"/>
            </w:pPr>
            <w:r w:rsidRPr="00FC3F36">
              <w:t>8 900</w:t>
            </w:r>
          </w:p>
        </w:tc>
        <w:tc>
          <w:tcPr>
            <w:tcW w:w="868" w:type="dxa"/>
            <w:vAlign w:val="bottom"/>
          </w:tcPr>
          <w:p w:rsidR="00C611EC" w:rsidRPr="00FC3F36" w:rsidRDefault="00C611EC" w:rsidP="00C611EC">
            <w:pPr>
              <w:jc w:val="right"/>
            </w:pPr>
            <w:r w:rsidRPr="00FC3F36">
              <w:t>8 700</w:t>
            </w:r>
          </w:p>
        </w:tc>
      </w:tr>
      <w:tr w:rsidR="00C611EC" w:rsidRPr="00FC3F36" w:rsidTr="007F75D2">
        <w:tc>
          <w:tcPr>
            <w:tcW w:w="2466" w:type="dxa"/>
            <w:noWrap/>
          </w:tcPr>
          <w:p w:rsidR="00C611EC" w:rsidRPr="00FC3F36" w:rsidRDefault="00C611EC" w:rsidP="00C611EC">
            <w:pPr>
              <w:rPr>
                <w:sz w:val="20"/>
                <w:szCs w:val="20"/>
              </w:rPr>
            </w:pPr>
            <w:r w:rsidRPr="00FC3F36">
              <w:rPr>
                <w:sz w:val="20"/>
                <w:szCs w:val="20"/>
              </w:rPr>
              <w:t xml:space="preserve">Inkomstpension 15 000 kr </w:t>
            </w:r>
          </w:p>
        </w:tc>
        <w:tc>
          <w:tcPr>
            <w:tcW w:w="829" w:type="dxa"/>
            <w:vAlign w:val="bottom"/>
          </w:tcPr>
          <w:p w:rsidR="00C611EC" w:rsidRPr="00FC3F36" w:rsidRDefault="00C611EC" w:rsidP="00C611EC">
            <w:pPr>
              <w:jc w:val="right"/>
            </w:pPr>
            <w:r w:rsidRPr="00FC3F36">
              <w:t>12 100</w:t>
            </w:r>
          </w:p>
        </w:tc>
        <w:tc>
          <w:tcPr>
            <w:tcW w:w="830" w:type="dxa"/>
            <w:vAlign w:val="bottom"/>
          </w:tcPr>
          <w:p w:rsidR="00C611EC" w:rsidRPr="00FC3F36" w:rsidRDefault="00C611EC" w:rsidP="00C611EC">
            <w:pPr>
              <w:jc w:val="right"/>
            </w:pPr>
            <w:r w:rsidRPr="00FC3F36">
              <w:t>12 000</w:t>
            </w:r>
          </w:p>
        </w:tc>
        <w:tc>
          <w:tcPr>
            <w:tcW w:w="830" w:type="dxa"/>
            <w:vAlign w:val="bottom"/>
          </w:tcPr>
          <w:p w:rsidR="00C611EC" w:rsidRPr="00FC3F36" w:rsidRDefault="00C611EC" w:rsidP="00C611EC">
            <w:pPr>
              <w:jc w:val="right"/>
            </w:pPr>
            <w:r w:rsidRPr="00FC3F36">
              <w:t>11 900</w:t>
            </w:r>
          </w:p>
        </w:tc>
        <w:tc>
          <w:tcPr>
            <w:tcW w:w="830" w:type="dxa"/>
            <w:vAlign w:val="bottom"/>
          </w:tcPr>
          <w:p w:rsidR="00C611EC" w:rsidRPr="00FC3F36" w:rsidRDefault="00C611EC" w:rsidP="00C611EC">
            <w:pPr>
              <w:jc w:val="right"/>
            </w:pPr>
            <w:r w:rsidRPr="00FC3F36">
              <w:t>12 600</w:t>
            </w:r>
          </w:p>
        </w:tc>
        <w:tc>
          <w:tcPr>
            <w:tcW w:w="830" w:type="dxa"/>
            <w:vAlign w:val="bottom"/>
          </w:tcPr>
          <w:p w:rsidR="00C611EC" w:rsidRPr="00FC3F36" w:rsidRDefault="00C611EC" w:rsidP="00C611EC">
            <w:pPr>
              <w:jc w:val="right"/>
            </w:pPr>
            <w:r w:rsidRPr="00FC3F36">
              <w:t>12 300</w:t>
            </w:r>
          </w:p>
        </w:tc>
        <w:tc>
          <w:tcPr>
            <w:tcW w:w="868" w:type="dxa"/>
            <w:vAlign w:val="bottom"/>
          </w:tcPr>
          <w:p w:rsidR="00C611EC" w:rsidRPr="00FC3F36" w:rsidRDefault="00C611EC" w:rsidP="00C611EC">
            <w:pPr>
              <w:jc w:val="right"/>
            </w:pPr>
            <w:r w:rsidRPr="00FC3F36">
              <w:t>11 900</w:t>
            </w:r>
          </w:p>
        </w:tc>
        <w:tc>
          <w:tcPr>
            <w:tcW w:w="868" w:type="dxa"/>
            <w:vAlign w:val="bottom"/>
          </w:tcPr>
          <w:p w:rsidR="00C611EC" w:rsidRPr="00FC3F36" w:rsidRDefault="00C611EC" w:rsidP="00C611EC">
            <w:pPr>
              <w:jc w:val="right"/>
            </w:pPr>
            <w:r w:rsidRPr="00FC3F36">
              <w:t>12 200</w:t>
            </w:r>
          </w:p>
        </w:tc>
        <w:tc>
          <w:tcPr>
            <w:tcW w:w="868" w:type="dxa"/>
            <w:vAlign w:val="bottom"/>
          </w:tcPr>
          <w:p w:rsidR="00C611EC" w:rsidRPr="00FC3F36" w:rsidRDefault="00C611EC" w:rsidP="00C611EC">
            <w:pPr>
              <w:jc w:val="right"/>
            </w:pPr>
            <w:r w:rsidRPr="00FC3F36">
              <w:t>12 700</w:t>
            </w:r>
          </w:p>
        </w:tc>
        <w:tc>
          <w:tcPr>
            <w:tcW w:w="868" w:type="dxa"/>
            <w:vAlign w:val="bottom"/>
          </w:tcPr>
          <w:p w:rsidR="00C611EC" w:rsidRPr="00FC3F36" w:rsidRDefault="00C611EC" w:rsidP="00C611EC">
            <w:pPr>
              <w:jc w:val="right"/>
            </w:pPr>
            <w:r w:rsidRPr="00FC3F36">
              <w:t>12 400</w:t>
            </w:r>
          </w:p>
        </w:tc>
      </w:tr>
      <w:tr w:rsidR="00C611EC" w:rsidRPr="00FC3F36" w:rsidTr="007F75D2">
        <w:tc>
          <w:tcPr>
            <w:tcW w:w="2466" w:type="dxa"/>
            <w:noWrap/>
          </w:tcPr>
          <w:p w:rsidR="00C611EC" w:rsidRPr="00FC3F36" w:rsidRDefault="00C611EC" w:rsidP="00C611EC">
            <w:pPr>
              <w:rPr>
                <w:sz w:val="20"/>
                <w:szCs w:val="20"/>
              </w:rPr>
            </w:pPr>
            <w:r w:rsidRPr="00FC3F36">
              <w:rPr>
                <w:sz w:val="20"/>
                <w:szCs w:val="20"/>
              </w:rPr>
              <w:t>Inkomstpension 20 000 kr</w:t>
            </w:r>
          </w:p>
        </w:tc>
        <w:tc>
          <w:tcPr>
            <w:tcW w:w="829" w:type="dxa"/>
            <w:vAlign w:val="bottom"/>
          </w:tcPr>
          <w:p w:rsidR="00C611EC" w:rsidRPr="00FC3F36" w:rsidRDefault="00C611EC" w:rsidP="00C611EC">
            <w:pPr>
              <w:jc w:val="right"/>
            </w:pPr>
            <w:r w:rsidRPr="00FC3F36">
              <w:t>15 700</w:t>
            </w:r>
          </w:p>
        </w:tc>
        <w:tc>
          <w:tcPr>
            <w:tcW w:w="830" w:type="dxa"/>
            <w:vAlign w:val="bottom"/>
          </w:tcPr>
          <w:p w:rsidR="00C611EC" w:rsidRPr="00FC3F36" w:rsidRDefault="00C611EC" w:rsidP="00C611EC">
            <w:pPr>
              <w:jc w:val="right"/>
            </w:pPr>
            <w:r w:rsidRPr="00FC3F36">
              <w:t>15 600</w:t>
            </w:r>
          </w:p>
        </w:tc>
        <w:tc>
          <w:tcPr>
            <w:tcW w:w="830" w:type="dxa"/>
            <w:vAlign w:val="bottom"/>
          </w:tcPr>
          <w:p w:rsidR="00C611EC" w:rsidRPr="00FC3F36" w:rsidRDefault="00C611EC" w:rsidP="00C611EC">
            <w:pPr>
              <w:jc w:val="right"/>
            </w:pPr>
            <w:r w:rsidRPr="00FC3F36">
              <w:t>15 500</w:t>
            </w:r>
          </w:p>
        </w:tc>
        <w:tc>
          <w:tcPr>
            <w:tcW w:w="830" w:type="dxa"/>
            <w:vAlign w:val="bottom"/>
          </w:tcPr>
          <w:p w:rsidR="00C611EC" w:rsidRPr="00FC3F36" w:rsidRDefault="00C611EC" w:rsidP="00C611EC">
            <w:pPr>
              <w:jc w:val="right"/>
            </w:pPr>
            <w:r w:rsidRPr="00FC3F36">
              <w:t>16 300</w:t>
            </w:r>
          </w:p>
        </w:tc>
        <w:tc>
          <w:tcPr>
            <w:tcW w:w="830" w:type="dxa"/>
            <w:vAlign w:val="bottom"/>
          </w:tcPr>
          <w:p w:rsidR="00C611EC" w:rsidRPr="00FC3F36" w:rsidRDefault="00C611EC" w:rsidP="00C611EC">
            <w:pPr>
              <w:jc w:val="right"/>
            </w:pPr>
            <w:r w:rsidRPr="00FC3F36">
              <w:t>15 800</w:t>
            </w:r>
          </w:p>
        </w:tc>
        <w:tc>
          <w:tcPr>
            <w:tcW w:w="868" w:type="dxa"/>
            <w:vAlign w:val="bottom"/>
          </w:tcPr>
          <w:p w:rsidR="00C611EC" w:rsidRPr="00FC3F36" w:rsidRDefault="00C611EC" w:rsidP="00C611EC">
            <w:pPr>
              <w:jc w:val="right"/>
            </w:pPr>
            <w:r w:rsidRPr="00FC3F36">
              <w:t>15 300</w:t>
            </w:r>
          </w:p>
        </w:tc>
        <w:tc>
          <w:tcPr>
            <w:tcW w:w="868" w:type="dxa"/>
            <w:vAlign w:val="bottom"/>
          </w:tcPr>
          <w:p w:rsidR="00C611EC" w:rsidRPr="00FC3F36" w:rsidRDefault="00C611EC" w:rsidP="00C611EC">
            <w:pPr>
              <w:jc w:val="right"/>
            </w:pPr>
            <w:r w:rsidRPr="00FC3F36">
              <w:t>15 700</w:t>
            </w:r>
          </w:p>
        </w:tc>
        <w:tc>
          <w:tcPr>
            <w:tcW w:w="868" w:type="dxa"/>
            <w:vAlign w:val="bottom"/>
          </w:tcPr>
          <w:p w:rsidR="00C611EC" w:rsidRPr="00FC3F36" w:rsidRDefault="00C611EC" w:rsidP="00C611EC">
            <w:pPr>
              <w:jc w:val="right"/>
            </w:pPr>
            <w:r w:rsidRPr="00FC3F36">
              <w:t>16 300</w:t>
            </w:r>
          </w:p>
        </w:tc>
        <w:tc>
          <w:tcPr>
            <w:tcW w:w="868" w:type="dxa"/>
            <w:vAlign w:val="bottom"/>
          </w:tcPr>
          <w:p w:rsidR="00C611EC" w:rsidRPr="00FC3F36" w:rsidRDefault="00C611EC" w:rsidP="00C611EC">
            <w:pPr>
              <w:jc w:val="right"/>
            </w:pPr>
            <w:r w:rsidRPr="00FC3F36">
              <w:t>15 800</w:t>
            </w:r>
          </w:p>
        </w:tc>
      </w:tr>
    </w:tbl>
    <w:p w:rsidR="009177CB" w:rsidRPr="00FC3F36" w:rsidRDefault="009177CB" w:rsidP="004824F9">
      <w:pPr>
        <w:pStyle w:val="SidfotBrdtext"/>
        <w:ind w:right="255"/>
        <w:rPr>
          <w:iCs/>
        </w:rPr>
      </w:pPr>
      <w:r w:rsidRPr="00FC3F36">
        <w:rPr>
          <w:iCs/>
        </w:rPr>
        <w:t>* Inflationen 2014 är satt till 1,3</w:t>
      </w:r>
      <w:r w:rsidR="00C611EC" w:rsidRPr="00FC3F36">
        <w:rPr>
          <w:iCs/>
        </w:rPr>
        <w:t xml:space="preserve"> </w:t>
      </w:r>
      <w:r w:rsidRPr="00FC3F36">
        <w:rPr>
          <w:iCs/>
        </w:rPr>
        <w:t xml:space="preserve">%, i enlighet med </w:t>
      </w:r>
      <w:r w:rsidRPr="00FC3F36">
        <w:t>Finansdepartementets beräkningskonventioner</w:t>
      </w:r>
    </w:p>
    <w:p w:rsidR="004824F9" w:rsidRPr="00FC3F36" w:rsidRDefault="004824F9" w:rsidP="009177CB">
      <w:pPr>
        <w:pStyle w:val="SidfotBrdtext"/>
        <w:ind w:right="397"/>
        <w:rPr>
          <w:iCs/>
        </w:rPr>
      </w:pPr>
      <w:r w:rsidRPr="00FC3F36">
        <w:rPr>
          <w:i/>
          <w:iCs/>
        </w:rPr>
        <w:t>Källa:</w:t>
      </w:r>
      <w:r w:rsidRPr="00FC3F36">
        <w:rPr>
          <w:iCs/>
        </w:rPr>
        <w:t xml:space="preserve"> Utredningstjänstens beräkningar enligt </w:t>
      </w:r>
      <w:r w:rsidRPr="00FC3F36">
        <w:t>Finansdepartementet, Beräkningskonventioner</w:t>
      </w:r>
      <w:r w:rsidR="009177CB" w:rsidRPr="00FC3F36">
        <w:t xml:space="preserve"> </w:t>
      </w:r>
      <w:r w:rsidRPr="00FC3F36">
        <w:t>– Metoder för effektberäkningar vid ändrade skatteregler</w:t>
      </w:r>
    </w:p>
    <w:p w:rsidR="00C611EC" w:rsidRPr="00FC3F36" w:rsidRDefault="00C611EC" w:rsidP="00D70B1D"/>
    <w:p w:rsidR="00EC2BBA" w:rsidRPr="00FC3F36" w:rsidRDefault="00DF3913" w:rsidP="00EA3581">
      <w:pPr>
        <w:pStyle w:val="Beskrivning"/>
      </w:pPr>
      <w:r w:rsidRPr="00FC3F36">
        <w:rPr>
          <w:b/>
          <w:sz w:val="22"/>
          <w:szCs w:val="22"/>
        </w:rPr>
        <w:t xml:space="preserve">Diagram </w:t>
      </w:r>
      <w:r w:rsidRPr="00FC3F36">
        <w:rPr>
          <w:b/>
          <w:sz w:val="22"/>
          <w:szCs w:val="22"/>
        </w:rPr>
        <w:fldChar w:fldCharType="begin"/>
      </w:r>
      <w:r w:rsidRPr="00FC3F36">
        <w:rPr>
          <w:b/>
          <w:sz w:val="22"/>
          <w:szCs w:val="22"/>
        </w:rPr>
        <w:instrText xml:space="preserve"> SEQ Diagram \* ARABIC </w:instrText>
      </w:r>
      <w:r w:rsidRPr="00FC3F36">
        <w:rPr>
          <w:b/>
          <w:sz w:val="22"/>
          <w:szCs w:val="22"/>
        </w:rPr>
        <w:fldChar w:fldCharType="separate"/>
      </w:r>
      <w:r w:rsidR="009974A4" w:rsidRPr="00FC3F36">
        <w:rPr>
          <w:b/>
          <w:noProof/>
          <w:sz w:val="22"/>
          <w:szCs w:val="22"/>
        </w:rPr>
        <w:t>1</w:t>
      </w:r>
      <w:r w:rsidRPr="00FC3F36">
        <w:rPr>
          <w:b/>
          <w:sz w:val="22"/>
          <w:szCs w:val="22"/>
        </w:rPr>
        <w:fldChar w:fldCharType="end"/>
      </w:r>
      <w:r w:rsidRPr="00FC3F36">
        <w:rPr>
          <w:b/>
          <w:sz w:val="22"/>
          <w:szCs w:val="22"/>
        </w:rPr>
        <w:t xml:space="preserve"> Utveckling av pensionen </w:t>
      </w:r>
      <w:r w:rsidR="007F1CAE" w:rsidRPr="00FC3F36">
        <w:rPr>
          <w:b/>
          <w:sz w:val="22"/>
          <w:szCs w:val="22"/>
        </w:rPr>
        <w:t xml:space="preserve">per månad </w:t>
      </w:r>
      <w:r w:rsidRPr="00FC3F36">
        <w:rPr>
          <w:b/>
          <w:sz w:val="22"/>
          <w:szCs w:val="22"/>
        </w:rPr>
        <w:t>efter skatt för fyra typfall, 2006-2014, fasta priser 2013 års prisnivå</w:t>
      </w:r>
      <w:r w:rsidR="009177CB" w:rsidRPr="00FC3F36">
        <w:rPr>
          <w:b/>
          <w:sz w:val="22"/>
          <w:szCs w:val="22"/>
        </w:rPr>
        <w:t>, kronor</w:t>
      </w:r>
    </w:p>
    <w:p w:rsidR="00DF3913" w:rsidRPr="00FC3F36" w:rsidRDefault="00C611EC" w:rsidP="00D70B1D">
      <w:pPr>
        <w:rPr>
          <w:noProof/>
        </w:rPr>
      </w:pPr>
      <w:r w:rsidRPr="00FC3F36">
        <w:rPr>
          <w:noProof/>
        </w:rPr>
        <w:drawing>
          <wp:inline distT="0" distB="0" distL="0" distR="0" wp14:anchorId="19D081DC">
            <wp:extent cx="4320000" cy="2419200"/>
            <wp:effectExtent l="0" t="0" r="4445" b="63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0000" cy="2419200"/>
                    </a:xfrm>
                    <a:prstGeom prst="rect">
                      <a:avLst/>
                    </a:prstGeom>
                    <a:noFill/>
                  </pic:spPr>
                </pic:pic>
              </a:graphicData>
            </a:graphic>
          </wp:inline>
        </w:drawing>
      </w:r>
    </w:p>
    <w:p w:rsidR="00DF3913" w:rsidRPr="00FC3F36" w:rsidRDefault="00DF3913" w:rsidP="009177CB">
      <w:pPr>
        <w:pStyle w:val="SidfotBrdtext"/>
        <w:ind w:right="680"/>
        <w:rPr>
          <w:iCs/>
        </w:rPr>
      </w:pPr>
      <w:r w:rsidRPr="00FC3F36">
        <w:rPr>
          <w:i/>
          <w:iCs/>
        </w:rPr>
        <w:t>Källa:</w:t>
      </w:r>
      <w:r w:rsidRPr="00FC3F36">
        <w:rPr>
          <w:iCs/>
        </w:rPr>
        <w:t xml:space="preserve"> Utredningstjänstens beräkningar enligt </w:t>
      </w:r>
      <w:r w:rsidRPr="00FC3F36">
        <w:t>Finansdepartementet, Beräkningskonventioner</w:t>
      </w:r>
      <w:r w:rsidR="009177CB" w:rsidRPr="00FC3F36">
        <w:t xml:space="preserve"> </w:t>
      </w:r>
      <w:r w:rsidRPr="00FC3F36">
        <w:t>– Metoder för effektberäkningar vid ändrade skatteregler</w:t>
      </w:r>
    </w:p>
    <w:p w:rsidR="00DF3913" w:rsidRPr="00FC3F36" w:rsidRDefault="00DF3913" w:rsidP="00D70B1D"/>
    <w:p w:rsidR="00A829E7" w:rsidRPr="00FC3F36" w:rsidRDefault="00A829E7" w:rsidP="00A829E7">
      <w:pPr>
        <w:pStyle w:val="Rubrik2"/>
      </w:pPr>
      <w:r w:rsidRPr="00FC3F36">
        <w:t>Årlig justering av pensionerna</w:t>
      </w:r>
      <w:r w:rsidRPr="00FC3F36">
        <w:rPr>
          <w:rStyle w:val="Fotnotsreferens"/>
        </w:rPr>
        <w:footnoteReference w:id="3"/>
      </w:r>
    </w:p>
    <w:p w:rsidR="00A829E7" w:rsidRPr="00FC3F36" w:rsidRDefault="00A829E7" w:rsidP="00A829E7">
      <w:r w:rsidRPr="00FC3F36">
        <w:t>Vid varje årsskifte räknas alla pensionärers ålderspensioner om. Omräkningen innebär att pensionen justeras beroende på hur inkomster och priser förändra</w:t>
      </w:r>
      <w:r w:rsidR="007F1CAE">
        <w:t>t</w:t>
      </w:r>
      <w:r w:rsidRPr="00FC3F36">
        <w:t xml:space="preserve">s i samhället. Inkomstutvecklingen i Sverige mäts med hjälp av ett inkomstindex. Inkomstindex är ett mått på den genomsnittliga inkomsten i Sverige och beräknas </w:t>
      </w:r>
      <w:r w:rsidRPr="00FC3F36">
        <w:lastRenderedPageBreak/>
        <w:t xml:space="preserve">utifrån genomsnittet av samtliga pensionsgrundande inkomster för personer i </w:t>
      </w:r>
      <w:r w:rsidR="007F1CAE">
        <w:t>åldern</w:t>
      </w:r>
      <w:r w:rsidRPr="00FC3F36">
        <w:t xml:space="preserve"> 16</w:t>
      </w:r>
      <w:r w:rsidR="009177CB" w:rsidRPr="00FC3F36">
        <w:t>-</w:t>
      </w:r>
      <w:r w:rsidRPr="00FC3F36">
        <w:t>64 år. Inkomstindex utgår från basåret 1999. År 2014 har inkomstindex beräknats till 155,61</w:t>
      </w:r>
      <w:r w:rsidR="009177CB" w:rsidRPr="00FC3F36">
        <w:t xml:space="preserve"> och för 2013 var inkomstindex 154,84</w:t>
      </w:r>
      <w:r w:rsidRPr="00FC3F36">
        <w:t xml:space="preserve">. Pensionen för ett år beräknas utifrån det s.k. följsamhetsindexet som beräknas som inkomstindex ifjol (år 1) och </w:t>
      </w:r>
      <w:r w:rsidR="00995412" w:rsidRPr="00FC3F36">
        <w:t xml:space="preserve">inkomstindex </w:t>
      </w:r>
      <w:r w:rsidRPr="00FC3F36">
        <w:t>aktuellt år (år 2).</w:t>
      </w:r>
    </w:p>
    <w:p w:rsidR="00A829E7" w:rsidRPr="00FC3F36" w:rsidRDefault="00A829E7" w:rsidP="00A829E7">
      <w:r w:rsidRPr="00FC3F36">
        <w:rPr>
          <w:noProof/>
        </w:rPr>
        <w:drawing>
          <wp:inline distT="0" distB="0" distL="0" distR="0" wp14:anchorId="067C8556" wp14:editId="7213E23F">
            <wp:extent cx="4572635" cy="697865"/>
            <wp:effectExtent l="0" t="0" r="0" b="698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72635" cy="697865"/>
                    </a:xfrm>
                    <a:prstGeom prst="rect">
                      <a:avLst/>
                    </a:prstGeom>
                  </pic:spPr>
                </pic:pic>
              </a:graphicData>
            </a:graphic>
          </wp:inline>
        </w:drawing>
      </w:r>
    </w:p>
    <w:p w:rsidR="00A829E7" w:rsidRPr="00FC3F36" w:rsidRDefault="00A829E7" w:rsidP="00A829E7">
      <w:r w:rsidRPr="00FC3F36">
        <w:t>Talet 1,016 motsvarar ett avdrag med 1,6 procentenheter. Avdraget görs eftersom man vid beräkning</w:t>
      </w:r>
      <w:r w:rsidR="007F1CAE">
        <w:t>en</w:t>
      </w:r>
      <w:r w:rsidRPr="00FC3F36">
        <w:t xml:space="preserve"> </w:t>
      </w:r>
      <w:r w:rsidR="007F1CAE">
        <w:t>av en persons</w:t>
      </w:r>
      <w:r w:rsidR="007F75D2" w:rsidRPr="00FC3F36">
        <w:t xml:space="preserve"> första </w:t>
      </w:r>
      <w:r w:rsidR="007F1CAE">
        <w:t>pensions</w:t>
      </w:r>
      <w:bookmarkStart w:id="4" w:name="_GoBack"/>
      <w:bookmarkEnd w:id="4"/>
      <w:r w:rsidR="007F75D2" w:rsidRPr="00FC3F36">
        <w:t xml:space="preserve">utbetalning </w:t>
      </w:r>
      <w:r w:rsidRPr="00FC3F36">
        <w:t>tar hänsyn till en tänkt framtida tillväxt på 1,6 procent (tillväxtnormen).</w:t>
      </w:r>
    </w:p>
    <w:p w:rsidR="00A829E7" w:rsidRPr="00FC3F36" w:rsidRDefault="00A829E7" w:rsidP="00D70B1D"/>
    <w:p w:rsidR="000E0A34" w:rsidRPr="00FC3F36" w:rsidRDefault="007C2B59" w:rsidP="000E0A34">
      <w:pPr>
        <w:pStyle w:val="Rubrik2"/>
      </w:pPr>
      <w:r w:rsidRPr="00FC3F36">
        <w:t>Förändringar i grundavdrag för pensionärer</w:t>
      </w:r>
      <w:r w:rsidR="009974A4" w:rsidRPr="00FC3F36">
        <w:rPr>
          <w:rStyle w:val="Fotnotsreferens"/>
        </w:rPr>
        <w:footnoteReference w:id="4"/>
      </w:r>
    </w:p>
    <w:p w:rsidR="007C2B59" w:rsidRPr="00FC3F36" w:rsidRDefault="009974A4" w:rsidP="009974A4">
      <w:r w:rsidRPr="00FC3F36">
        <w:t xml:space="preserve">Inför beskattningsåret 2009 infördes ett förhöjt grundavdrag för personer som vid årets ingång fyllt 65 år. Det förhöjda grundavdraget består av det vanliga grundavdraget plus ett tillägg (särskilt belopp). Under perioden 2010-2014 har årliga justeringar gjorts </w:t>
      </w:r>
      <w:r w:rsidR="009177CB" w:rsidRPr="00FC3F36">
        <w:t>av</w:t>
      </w:r>
      <w:r w:rsidRPr="00FC3F36">
        <w:t xml:space="preserve"> tillägget</w:t>
      </w:r>
      <w:r w:rsidR="009177CB" w:rsidRPr="00FC3F36">
        <w:t>s storlek</w:t>
      </w:r>
      <w:r w:rsidRPr="00FC3F36">
        <w:t>.</w:t>
      </w:r>
    </w:p>
    <w:p w:rsidR="00834494" w:rsidRPr="00FC3F36" w:rsidRDefault="00834494" w:rsidP="00D70B1D"/>
    <w:p w:rsidR="00C7328E" w:rsidRPr="00FC3F36" w:rsidRDefault="00C7328E" w:rsidP="00C7328E">
      <w:pPr>
        <w:pStyle w:val="Rubrik1"/>
      </w:pPr>
      <w:r w:rsidRPr="00FC3F36">
        <w:t>Inkomststöd till pensionärer</w:t>
      </w:r>
    </w:p>
    <w:p w:rsidR="00C7328E" w:rsidRPr="00FC3F36" w:rsidRDefault="00C7328E" w:rsidP="00C7328E">
      <w:r w:rsidRPr="00FC3F36">
        <w:t>För pensionärer med en låg pension finns bostadstillägg och äldreförsörjningsstöd att söka, för att förbättra personens ekonomiska situation.</w:t>
      </w:r>
      <w:r w:rsidR="004103EF" w:rsidRPr="00FC3F36">
        <w:t xml:space="preserve"> Eftersom </w:t>
      </w:r>
      <w:r w:rsidR="004103EF">
        <w:t xml:space="preserve">storleken på </w:t>
      </w:r>
      <w:r w:rsidR="004103EF" w:rsidRPr="00FC3F36">
        <w:t>bostadstillägg</w:t>
      </w:r>
      <w:r w:rsidR="004103EF">
        <w:t>et</w:t>
      </w:r>
      <w:r w:rsidR="004103EF" w:rsidRPr="00FC3F36">
        <w:t xml:space="preserve"> och äldreförsörjningsstöd</w:t>
      </w:r>
      <w:r w:rsidR="004103EF">
        <w:t>et</w:t>
      </w:r>
      <w:r w:rsidR="004103EF" w:rsidRPr="00FC3F36">
        <w:t xml:space="preserve"> bestäms utifrån individens totala ekonomiska situation har utredningstjänsten inte gjort någon skattning av hur mycket typfallen skulle kunna få i</w:t>
      </w:r>
      <w:r w:rsidR="004103EF" w:rsidRPr="004103EF">
        <w:t xml:space="preserve"> </w:t>
      </w:r>
      <w:r w:rsidR="004103EF" w:rsidRPr="00FC3F36">
        <w:t xml:space="preserve">bostadstillägg </w:t>
      </w:r>
      <w:r w:rsidR="004103EF">
        <w:t>eller</w:t>
      </w:r>
      <w:r w:rsidR="004103EF" w:rsidRPr="00FC3F36">
        <w:t xml:space="preserve"> äldreförsörjningsstöd.</w:t>
      </w:r>
    </w:p>
    <w:p w:rsidR="00C7328E" w:rsidRPr="00FC3F36" w:rsidRDefault="00C7328E" w:rsidP="00C7328E"/>
    <w:p w:rsidR="00C7328E" w:rsidRPr="00FC3F36" w:rsidRDefault="00FC3F36" w:rsidP="00C7328E">
      <w:pPr>
        <w:pStyle w:val="Rubrik2"/>
      </w:pPr>
      <w:r w:rsidRPr="00FC3F36">
        <w:t>Bostadstillägg till pensionärer</w:t>
      </w:r>
      <w:r>
        <w:rPr>
          <w:rStyle w:val="Fotnotsreferens"/>
        </w:rPr>
        <w:footnoteReference w:id="5"/>
      </w:r>
    </w:p>
    <w:p w:rsidR="00C7328E" w:rsidRPr="00FC3F36" w:rsidRDefault="00C7328E" w:rsidP="00C7328E">
      <w:r w:rsidRPr="00FC3F36">
        <w:t>För pensionärer med en låg pension finns ett s.k. bostadstillägg, som är ett skattefritt tillägg till pensionen som man kan få för att betala delar av sitt boende. För att kunna få bostadstillägg måste man vara över 65 år och ta ut hel pension. Bostadstillägg kan sökas oavsett om man bor i en hyrd bostad, en bostadsrätt, ett eget hus, ett äldreboende eller annat boende. Förutom bostadskostnaden påverkar inkomster och tillgångar bostadstil</w:t>
      </w:r>
      <w:r w:rsidR="004103EF">
        <w:t>l</w:t>
      </w:r>
      <w:r w:rsidRPr="00FC3F36">
        <w:t>äggets storlek.</w:t>
      </w:r>
    </w:p>
    <w:p w:rsidR="00C7328E" w:rsidRPr="00FC3F36" w:rsidRDefault="00C7328E" w:rsidP="00C7328E"/>
    <w:p w:rsidR="00C7328E" w:rsidRPr="00FC3F36" w:rsidRDefault="00C7328E" w:rsidP="00C7328E">
      <w:pPr>
        <w:pStyle w:val="Rubrik2"/>
      </w:pPr>
      <w:r w:rsidRPr="00FC3F36">
        <w:lastRenderedPageBreak/>
        <w:t>Äldreförsörjningsstöd</w:t>
      </w:r>
      <w:r w:rsidR="00FC3F36">
        <w:rPr>
          <w:rStyle w:val="Fotnotsreferens"/>
        </w:rPr>
        <w:footnoteReference w:id="6"/>
      </w:r>
    </w:p>
    <w:p w:rsidR="00C7328E" w:rsidRPr="00FC3F36" w:rsidRDefault="00C7328E" w:rsidP="00C7328E">
      <w:r w:rsidRPr="00FC3F36">
        <w:t xml:space="preserve">För personer med en låg pension eller ingen pension alls finns även äldreförsörjningsstödet. Det är ett stöd </w:t>
      </w:r>
      <w:r w:rsidR="00C22E9A" w:rsidRPr="00FC3F36">
        <w:t>för</w:t>
      </w:r>
      <w:r w:rsidRPr="00FC3F36">
        <w:t xml:space="preserve"> att personen </w:t>
      </w:r>
      <w:r w:rsidR="00C22E9A" w:rsidRPr="00FC3F36">
        <w:t>ska</w:t>
      </w:r>
      <w:r w:rsidRPr="00FC3F36">
        <w:t xml:space="preserve"> få en skälig levnadsnivå. Äldreförsörjningsstödet är ett stöd om inte de andra pensionsförmånerna räcker till. Man kan ha rätt till äldreförsörjningsstöd om man bor i Sverige och är 65 år och tar ut alla pensionsförmåner som man har rätt till och ändå inte når upp </w:t>
      </w:r>
      <w:r w:rsidR="00C22E9A" w:rsidRPr="00FC3F36">
        <w:t>t</w:t>
      </w:r>
      <w:r w:rsidRPr="00FC3F36">
        <w:t>i</w:t>
      </w:r>
      <w:r w:rsidR="00C22E9A" w:rsidRPr="00FC3F36">
        <w:t>ll en</w:t>
      </w:r>
      <w:r w:rsidRPr="00FC3F36">
        <w:t xml:space="preserve"> skälig levnadsnivå.</w:t>
      </w:r>
    </w:p>
    <w:p w:rsidR="003606D6" w:rsidRPr="00FC3F36" w:rsidRDefault="003606D6" w:rsidP="00D70B1D"/>
    <w:p w:rsidR="00834494" w:rsidRDefault="00834494" w:rsidP="00D70B1D"/>
    <w:p w:rsidR="00F230F1" w:rsidRPr="00FC3F36" w:rsidRDefault="00F230F1" w:rsidP="00D70B1D"/>
    <w:p w:rsidR="00EC2BBA" w:rsidRPr="00FC3F36" w:rsidRDefault="00EC2BBA" w:rsidP="00EC2BBA">
      <w:pPr>
        <w:pStyle w:val="Rubrik1"/>
      </w:pPr>
      <w:r w:rsidRPr="00FC3F36">
        <w:t>Källor</w:t>
      </w:r>
    </w:p>
    <w:p w:rsidR="00EC2BBA" w:rsidRPr="00FC3F36" w:rsidRDefault="0073007F" w:rsidP="00EC2BBA">
      <w:r w:rsidRPr="00FC3F36">
        <w:t>Pensionsmyndigheten</w:t>
      </w:r>
      <w:r w:rsidR="00143423" w:rsidRPr="00FC3F36">
        <w:t xml:space="preserve">s webbplats, </w:t>
      </w:r>
      <w:hyperlink r:id="rId10" w:history="1">
        <w:r w:rsidR="00143423" w:rsidRPr="00FC3F36">
          <w:rPr>
            <w:rStyle w:val="Hyperlnk"/>
          </w:rPr>
          <w:t>www.pensionsmyndigheten.se</w:t>
        </w:r>
      </w:hyperlink>
    </w:p>
    <w:p w:rsidR="00FC3F36" w:rsidRDefault="00FC3F36" w:rsidP="00FC3F36">
      <w:r w:rsidRPr="00FC3F36">
        <w:t xml:space="preserve">Pensionsmyndighetens webbplats </w:t>
      </w:r>
      <w:r>
        <w:t xml:space="preserve">om </w:t>
      </w:r>
      <w:hyperlink r:id="rId11" w:history="1">
        <w:r w:rsidR="00A7151A">
          <w:rPr>
            <w:rStyle w:val="Hyperlnk"/>
          </w:rPr>
          <w:t>b</w:t>
        </w:r>
        <w:r w:rsidRPr="00FC3F36">
          <w:rPr>
            <w:rStyle w:val="Hyperlnk"/>
          </w:rPr>
          <w:t>ostadstillägg</w:t>
        </w:r>
      </w:hyperlink>
    </w:p>
    <w:p w:rsidR="00FC3F36" w:rsidRPr="00EC2BBA" w:rsidRDefault="00FC3F36" w:rsidP="00FC3F36">
      <w:r w:rsidRPr="00FC3F36">
        <w:t xml:space="preserve">Pensionsmyndighetens webbplats </w:t>
      </w:r>
      <w:r>
        <w:t xml:space="preserve">om </w:t>
      </w:r>
      <w:hyperlink r:id="rId12" w:history="1">
        <w:r w:rsidR="00A7151A">
          <w:rPr>
            <w:rStyle w:val="Hyperlnk"/>
          </w:rPr>
          <w:t>ä</w:t>
        </w:r>
        <w:r w:rsidRPr="00FC3F36">
          <w:rPr>
            <w:rStyle w:val="Hyperlnk"/>
          </w:rPr>
          <w:t>ldreförsörjningsstöd</w:t>
        </w:r>
      </w:hyperlink>
    </w:p>
    <w:p w:rsidR="00E0392D" w:rsidRPr="00FC3F36" w:rsidRDefault="00E0392D" w:rsidP="00EC2BBA">
      <w:r w:rsidRPr="00FC3F36">
        <w:t>Pensionsmyndigheten,</w:t>
      </w:r>
      <w:r w:rsidRPr="00FC3F36">
        <w:rPr>
          <w:i/>
        </w:rPr>
        <w:t xml:space="preserve"> Indexering av pensionerna</w:t>
      </w:r>
      <w:r w:rsidRPr="00FC3F36">
        <w:t>, PM7616</w:t>
      </w:r>
    </w:p>
    <w:p w:rsidR="00834494" w:rsidRDefault="0073007F" w:rsidP="00EC2BBA">
      <w:r w:rsidRPr="00FC3F36">
        <w:t xml:space="preserve">Finansdepartementet, </w:t>
      </w:r>
      <w:r w:rsidR="004824F9" w:rsidRPr="00FC3F36">
        <w:rPr>
          <w:i/>
        </w:rPr>
        <w:t>Beräkningskonventioner</w:t>
      </w:r>
      <w:r w:rsidR="009177CB" w:rsidRPr="00FC3F36">
        <w:rPr>
          <w:i/>
        </w:rPr>
        <w:t xml:space="preserve"> </w:t>
      </w:r>
      <w:r w:rsidR="004824F9" w:rsidRPr="00FC3F36">
        <w:t>– Metoder för effektberäkningar vid ändrade skatteregler</w:t>
      </w:r>
    </w:p>
    <w:p w:rsidR="00F230F1" w:rsidRDefault="00F230F1" w:rsidP="00EC2BBA"/>
    <w:sectPr w:rsidR="00F230F1" w:rsidSect="00A46314">
      <w:headerReference w:type="default" r:id="rId13"/>
      <w:footerReference w:type="default" r:id="rId14"/>
      <w:headerReference w:type="first" r:id="rId15"/>
      <w:footerReference w:type="first" r:id="rId16"/>
      <w:type w:val="continuous"/>
      <w:pgSz w:w="11907" w:h="16840" w:code="9"/>
      <w:pgMar w:top="567" w:right="3005" w:bottom="851" w:left="1701" w:header="567" w:footer="340"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B1D" w:rsidRDefault="00D70B1D" w:rsidP="00A56189">
      <w:r>
        <w:separator/>
      </w:r>
    </w:p>
  </w:endnote>
  <w:endnote w:type="continuationSeparator" w:id="0">
    <w:p w:rsidR="00D70B1D" w:rsidRDefault="00D70B1D" w:rsidP="00A5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Sans Pro for Riksdagen Md">
    <w:panose1 w:val="00000000000000000000"/>
    <w:charset w:val="00"/>
    <w:family w:val="swiss"/>
    <w:notTrueType/>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GillSans Pro for Riksdagen Lt">
    <w:panose1 w:val="00000000000000000000"/>
    <w:charset w:val="00"/>
    <w:family w:val="swiss"/>
    <w:notTrueType/>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tblLayout w:type="fixed"/>
      <w:tblCellMar>
        <w:left w:w="70" w:type="dxa"/>
        <w:right w:w="70" w:type="dxa"/>
      </w:tblCellMar>
      <w:tblLook w:val="0000" w:firstRow="0" w:lastRow="0" w:firstColumn="0" w:lastColumn="0" w:noHBand="0" w:noVBand="0"/>
    </w:tblPr>
    <w:tblGrid>
      <w:gridCol w:w="9426"/>
    </w:tblGrid>
    <w:tr w:rsidR="000C2F8C" w:rsidRPr="002B4F43" w:rsidTr="00D70B1D">
      <w:trPr>
        <w:trHeight w:val="1134"/>
      </w:trPr>
      <w:tc>
        <w:tcPr>
          <w:tcW w:w="9426" w:type="dxa"/>
        </w:tcPr>
        <w:p w:rsidR="00D70B1D" w:rsidRDefault="00D70B1D" w:rsidP="00DC6DDF">
          <w:pPr>
            <w:pStyle w:val="NormalKompakt"/>
            <w:rPr>
              <w:rFonts w:ascii="GillSans Pro for Riksdagen Lt" w:hAnsi="GillSans Pro for Riksdagen Lt"/>
              <w:lang w:val="sv-SE"/>
            </w:rPr>
          </w:pPr>
        </w:p>
        <w:p w:rsidR="00D70B1D" w:rsidRDefault="00D70B1D" w:rsidP="00805CB5">
          <w:pPr>
            <w:pBdr>
              <w:top w:val="single" w:sz="4" w:space="3" w:color="auto"/>
            </w:pBdr>
            <w:spacing w:before="100" w:line="220" w:lineRule="atLeast"/>
            <w:rPr>
              <w:rFonts w:ascii="GillSans Pro for Riksdagen Lt" w:hAnsi="GillSans Pro for Riksdagen Lt"/>
              <w:sz w:val="18"/>
              <w:szCs w:val="18"/>
            </w:rPr>
          </w:pPr>
          <w:r w:rsidRPr="008F0F02">
            <w:rPr>
              <w:rFonts w:ascii="GillSans Pro for Riksdagen Lt" w:hAnsi="GillSans Pro for Riksdagen Lt"/>
              <w:spacing w:val="12"/>
              <w:sz w:val="18"/>
              <w:szCs w:val="18"/>
            </w:rPr>
            <w:t>SVERIGES RIKSDAG</w:t>
          </w:r>
          <w:r w:rsidRPr="008F0F02">
            <w:rPr>
              <w:rFonts w:ascii="GillSans Pro for Riksdagen Lt" w:hAnsi="GillSans Pro for Riksdagen Lt"/>
              <w:sz w:val="18"/>
              <w:szCs w:val="18"/>
            </w:rPr>
            <w:t xml:space="preserve">  100 12 </w:t>
          </w:r>
          <w:r>
            <w:rPr>
              <w:rFonts w:ascii="GillSans Pro for Riksdagen Lt" w:hAnsi="GillSans Pro for Riksdagen Lt"/>
              <w:sz w:val="18"/>
              <w:szCs w:val="18"/>
            </w:rPr>
            <w:t xml:space="preserve">Stockholm  •  Telefon 08-786 40 00  • </w:t>
          </w:r>
          <w:r w:rsidRPr="008F0F02">
            <w:rPr>
              <w:rFonts w:ascii="GillSans Pro for Riksdagen Lt" w:hAnsi="GillSans Pro for Riksdagen Lt"/>
              <w:sz w:val="18"/>
              <w:szCs w:val="18"/>
            </w:rPr>
            <w:t xml:space="preserve"> www.riksdagen.se</w:t>
          </w:r>
        </w:p>
        <w:p w:rsidR="00D70B1D" w:rsidRPr="002B4F43" w:rsidRDefault="00D70B1D" w:rsidP="00DC6DDF">
          <w:pPr>
            <w:pStyle w:val="NormalKompakt"/>
            <w:rPr>
              <w:rFonts w:ascii="GillSans Pro for Riksdagen Lt" w:hAnsi="GillSans Pro for Riksdagen Lt"/>
              <w:lang w:val="sv-SE"/>
            </w:rPr>
          </w:pPr>
        </w:p>
      </w:tc>
    </w:tr>
  </w:tbl>
  <w:p w:rsidR="000C2F8C" w:rsidRPr="002B4F43" w:rsidRDefault="000C2F8C" w:rsidP="006F6C65">
    <w:pPr>
      <w:pStyle w:val="KantHuvud"/>
      <w:framePr w:w="726" w:h="544" w:hRule="exact" w:wrap="around" w:x="10700" w:y="15934"/>
      <w:rPr>
        <w:rFonts w:ascii="GillSans Pro for Riksdagen Lt" w:hAnsi="GillSans Pro for Riksdagen Lt"/>
      </w:rPr>
    </w:pPr>
    <w:r w:rsidRPr="002B4F43">
      <w:rPr>
        <w:rStyle w:val="Sidnummer"/>
      </w:rPr>
      <w:fldChar w:fldCharType="begin"/>
    </w:r>
    <w:r w:rsidRPr="002B4F43">
      <w:rPr>
        <w:rStyle w:val="Sidnummer"/>
      </w:rPr>
      <w:instrText xml:space="preserve"> PAGE </w:instrText>
    </w:r>
    <w:r w:rsidRPr="002B4F43">
      <w:rPr>
        <w:rStyle w:val="Sidnummer"/>
      </w:rPr>
      <w:fldChar w:fldCharType="separate"/>
    </w:r>
    <w:r w:rsidR="007F1CAE">
      <w:rPr>
        <w:rStyle w:val="Sidnummer"/>
        <w:noProof/>
      </w:rPr>
      <w:t>4</w:t>
    </w:r>
    <w:r w:rsidRPr="002B4F43">
      <w:rPr>
        <w:rStyle w:val="Sidnummer"/>
      </w:rPr>
      <w:fldChar w:fldCharType="end"/>
    </w:r>
    <w:r w:rsidRPr="002B4F43">
      <w:rPr>
        <w:rStyle w:val="Sidnummer"/>
      </w:rPr>
      <w:t xml:space="preserve"> (</w:t>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Pr="002B4F43">
      <w:rPr>
        <w:rStyle w:val="Sidnummer"/>
        <w:noProof/>
      </w:rPr>
      <w:t>3</w:t>
    </w:r>
    <w:r w:rsidRPr="002B4F43">
      <w:rPr>
        <w:rStyle w:val="Sidnummer"/>
      </w:rPr>
      <w:fldChar w:fldCharType="end"/>
    </w:r>
    <w:r w:rsidRPr="002B4F43">
      <w:rPr>
        <w:rStyle w:val="Sidnummer"/>
      </w:rPr>
      <w:fldChar w:fldCharType="begin"/>
    </w:r>
    <w:r w:rsidRPr="002B4F43">
      <w:rPr>
        <w:rStyle w:val="Sidnummer"/>
      </w:rPr>
      <w:instrText xml:space="preserve"> NUMPAGES  \# "0"  \* MERGEFORMAT </w:instrText>
    </w:r>
    <w:r w:rsidRPr="002B4F43">
      <w:rPr>
        <w:rStyle w:val="Sidnummer"/>
      </w:rPr>
      <w:fldChar w:fldCharType="separate"/>
    </w:r>
    <w:r w:rsidR="007F1CAE">
      <w:rPr>
        <w:rStyle w:val="Sidnummer"/>
        <w:noProof/>
      </w:rPr>
      <w:t>4</w:t>
    </w:r>
    <w:r w:rsidRPr="002B4F43">
      <w:rPr>
        <w:rStyle w:val="Sidnummer"/>
      </w:rPr>
      <w:fldChar w:fldCharType="end"/>
    </w:r>
    <w:r w:rsidRPr="002B4F43">
      <w:rPr>
        <w:rStyle w:val="Sidnummer"/>
      </w:rPr>
      <w:t>)</w:t>
    </w:r>
  </w:p>
  <w:p w:rsidR="000C2F8C" w:rsidRPr="002B4F43" w:rsidRDefault="000C2F8C" w:rsidP="0080470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26" w:type="dxa"/>
      <w:tblLayout w:type="fixed"/>
      <w:tblCellMar>
        <w:left w:w="70" w:type="dxa"/>
        <w:right w:w="70" w:type="dxa"/>
      </w:tblCellMar>
      <w:tblLook w:val="0000" w:firstRow="0" w:lastRow="0" w:firstColumn="0" w:lastColumn="0" w:noHBand="0" w:noVBand="0"/>
    </w:tblPr>
    <w:tblGrid>
      <w:gridCol w:w="9426"/>
    </w:tblGrid>
    <w:tr w:rsidR="000C2F8C" w:rsidRPr="002B4F43" w:rsidTr="00CD5008">
      <w:trPr>
        <w:trHeight w:val="1361"/>
      </w:trPr>
      <w:tc>
        <w:tcPr>
          <w:tcW w:w="9426" w:type="dxa"/>
        </w:tcPr>
        <w:p w:rsidR="00D70B1D" w:rsidRDefault="00D70B1D" w:rsidP="00922AE6">
          <w:pPr>
            <w:pStyle w:val="SidfotBrdtext"/>
          </w:pPr>
          <w:bookmarkStart w:id="7" w:name="Huvud"/>
        </w:p>
        <w:p w:rsidR="00D70B1D" w:rsidRDefault="00D70B1D" w:rsidP="00922AE6">
          <w:pPr>
            <w:pStyle w:val="SidfotBrdtext"/>
          </w:pPr>
        </w:p>
        <w:p w:rsidR="00D70B1D" w:rsidRDefault="00D70B1D" w:rsidP="00D70B1D">
          <w:pPr>
            <w:pStyle w:val="SidfotNamn"/>
          </w:pPr>
          <w:r>
            <w:t>Anna Enström Järleborg</w:t>
          </w:r>
        </w:p>
        <w:p w:rsidR="00D70B1D" w:rsidRDefault="00D70B1D" w:rsidP="00D70B1D">
          <w:pPr>
            <w:pStyle w:val="SidfotBrdtext"/>
          </w:pPr>
          <w:r>
            <w:t>Telefon: 08</w:t>
          </w:r>
          <w:r>
            <w:noBreakHyphen/>
            <w:t>786 43 79</w:t>
          </w:r>
          <w:r w:rsidRPr="00D70B1D">
            <w:t xml:space="preserve">  •  </w:t>
          </w:r>
          <w:r>
            <w:t>E-post: anna.jarleborg@riksdagen.se</w:t>
          </w:r>
        </w:p>
        <w:p w:rsidR="00D70B1D" w:rsidRDefault="00D70B1D" w:rsidP="00805CB5">
          <w:pPr>
            <w:pBdr>
              <w:top w:val="single" w:sz="4" w:space="3" w:color="auto"/>
            </w:pBdr>
            <w:spacing w:before="100" w:line="220" w:lineRule="atLeast"/>
            <w:rPr>
              <w:rFonts w:ascii="GillSans Pro for Riksdagen Lt" w:hAnsi="GillSans Pro for Riksdagen Lt"/>
              <w:sz w:val="18"/>
              <w:szCs w:val="18"/>
            </w:rPr>
          </w:pPr>
          <w:bookmarkStart w:id="8" w:name="RiksdagenSidfotSvenska"/>
          <w:r w:rsidRPr="008F0F02">
            <w:rPr>
              <w:rFonts w:ascii="GillSans Pro for Riksdagen Lt" w:hAnsi="GillSans Pro for Riksdagen Lt"/>
              <w:spacing w:val="12"/>
              <w:sz w:val="18"/>
              <w:szCs w:val="18"/>
            </w:rPr>
            <w:t>SVERIGES RIKSDAG</w:t>
          </w:r>
          <w:r w:rsidRPr="008F0F02">
            <w:rPr>
              <w:rFonts w:ascii="GillSans Pro for Riksdagen Lt" w:hAnsi="GillSans Pro for Riksdagen Lt"/>
              <w:sz w:val="18"/>
              <w:szCs w:val="18"/>
            </w:rPr>
            <w:t xml:space="preserve">  100 12 </w:t>
          </w:r>
          <w:r>
            <w:rPr>
              <w:rFonts w:ascii="GillSans Pro for Riksdagen Lt" w:hAnsi="GillSans Pro for Riksdagen Lt"/>
              <w:sz w:val="18"/>
              <w:szCs w:val="18"/>
            </w:rPr>
            <w:t xml:space="preserve">Stockholm  •  Telefon 08-786 40 00  • </w:t>
          </w:r>
          <w:r w:rsidRPr="008F0F02">
            <w:rPr>
              <w:rFonts w:ascii="GillSans Pro for Riksdagen Lt" w:hAnsi="GillSans Pro for Riksdagen Lt"/>
              <w:sz w:val="18"/>
              <w:szCs w:val="18"/>
            </w:rPr>
            <w:t xml:space="preserve"> www.riksdagen.se</w:t>
          </w:r>
        </w:p>
        <w:bookmarkEnd w:id="8"/>
        <w:p w:rsidR="00D70B1D" w:rsidRPr="002B4F43" w:rsidRDefault="00D70B1D" w:rsidP="00D70B1D">
          <w:pPr>
            <w:pStyle w:val="SidfotBrdtext"/>
          </w:pPr>
        </w:p>
      </w:tc>
    </w:tr>
  </w:tbl>
  <w:bookmarkEnd w:id="7"/>
  <w:p w:rsidR="000C2F8C" w:rsidRDefault="000C2F8C" w:rsidP="00D96322">
    <w:pPr>
      <w:pStyle w:val="KantHuvud"/>
      <w:framePr w:w="726" w:h="544" w:hRule="exact" w:wrap="around" w:x="10700" w:y="15934"/>
    </w:pPr>
    <w:r>
      <w:rPr>
        <w:rStyle w:val="Sidnummer"/>
      </w:rPr>
      <w:fldChar w:fldCharType="begin"/>
    </w:r>
    <w:r>
      <w:rPr>
        <w:rStyle w:val="Sidnummer"/>
      </w:rPr>
      <w:instrText xml:space="preserve"> PAGE </w:instrText>
    </w:r>
    <w:r>
      <w:rPr>
        <w:rStyle w:val="Sidnummer"/>
      </w:rPr>
      <w:fldChar w:fldCharType="separate"/>
    </w:r>
    <w:r w:rsidR="007F1CAE">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 "0"  \* MERGEFORMAT </w:instrText>
    </w:r>
    <w:r>
      <w:rPr>
        <w:rStyle w:val="Sidnummer"/>
      </w:rPr>
      <w:fldChar w:fldCharType="separate"/>
    </w:r>
    <w:r>
      <w:rPr>
        <w:rStyle w:val="Sidnummer"/>
        <w:noProof/>
      </w:rPr>
      <w:t>3</w:t>
    </w:r>
    <w:r>
      <w:rPr>
        <w:rStyle w:val="Sidnummer"/>
      </w:rPr>
      <w:fldChar w:fldCharType="end"/>
    </w:r>
    <w:r>
      <w:rPr>
        <w:rStyle w:val="Sidnummer"/>
      </w:rPr>
      <w:fldChar w:fldCharType="begin"/>
    </w:r>
    <w:r>
      <w:rPr>
        <w:rStyle w:val="Sidnummer"/>
      </w:rPr>
      <w:instrText xml:space="preserve"> NUMPAGES  \# "0"  \* MERGEFORMAT </w:instrText>
    </w:r>
    <w:r>
      <w:rPr>
        <w:rStyle w:val="Sidnummer"/>
      </w:rPr>
      <w:fldChar w:fldCharType="separate"/>
    </w:r>
    <w:r w:rsidR="007F1CAE">
      <w:rPr>
        <w:rStyle w:val="Sidnummer"/>
        <w:noProof/>
      </w:rPr>
      <w:t>4</w:t>
    </w:r>
    <w:r>
      <w:rPr>
        <w:rStyle w:val="Sidnummer"/>
      </w:rPr>
      <w:fldChar w:fldCharType="end"/>
    </w:r>
    <w:r>
      <w:rPr>
        <w:rStyle w:val="Sidnummer"/>
      </w:rPr>
      <w:t>)</w:t>
    </w:r>
  </w:p>
  <w:p w:rsidR="000C2F8C" w:rsidRPr="002B4F43" w:rsidRDefault="000C2F8C" w:rsidP="00A07D21">
    <w:pPr>
      <w:pStyle w:val="Sidfot"/>
      <w:spacing w:after="2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B1D" w:rsidRDefault="00D70B1D" w:rsidP="00A56189">
      <w:r>
        <w:separator/>
      </w:r>
    </w:p>
  </w:footnote>
  <w:footnote w:type="continuationSeparator" w:id="0">
    <w:p w:rsidR="00D70B1D" w:rsidRDefault="00D70B1D" w:rsidP="00A56189">
      <w:r>
        <w:continuationSeparator/>
      </w:r>
    </w:p>
  </w:footnote>
  <w:footnote w:id="1">
    <w:p w:rsidR="00BA713F" w:rsidRDefault="00742ECC">
      <w:pPr>
        <w:pStyle w:val="Fotnotstext"/>
      </w:pPr>
      <w:r>
        <w:rPr>
          <w:rStyle w:val="Fotnotsreferens"/>
        </w:rPr>
        <w:footnoteRef/>
      </w:r>
      <w:r>
        <w:t xml:space="preserve"> 2,13 gånger prisbasbeloppet</w:t>
      </w:r>
      <w:r w:rsidR="00BA713F">
        <w:t xml:space="preserve">, </w:t>
      </w:r>
      <w:hyperlink r:id="rId1" w:history="1">
        <w:r w:rsidR="00BA713F" w:rsidRPr="00BA713F">
          <w:rPr>
            <w:rStyle w:val="Hyperlnk"/>
          </w:rPr>
          <w:t>Pensionsmyndigheten webbplats om garantipensionens storlek</w:t>
        </w:r>
      </w:hyperlink>
    </w:p>
  </w:footnote>
  <w:footnote w:id="2">
    <w:p w:rsidR="00742ECC" w:rsidRDefault="00742ECC">
      <w:pPr>
        <w:pStyle w:val="Fotnotstext"/>
      </w:pPr>
      <w:r>
        <w:rPr>
          <w:rStyle w:val="Fotnotsreferens"/>
        </w:rPr>
        <w:footnoteRef/>
      </w:r>
      <w:r>
        <w:t xml:space="preserve"> Finansdepartementet, </w:t>
      </w:r>
      <w:r w:rsidRPr="004824F9">
        <w:rPr>
          <w:i/>
        </w:rPr>
        <w:t>Beräkningskonventioner</w:t>
      </w:r>
      <w:r w:rsidR="009177CB">
        <w:rPr>
          <w:i/>
        </w:rPr>
        <w:t xml:space="preserve"> </w:t>
      </w:r>
      <w:r w:rsidRPr="004824F9">
        <w:t>– Metoder för effektberäkningar vid ändrade skatteregler</w:t>
      </w:r>
    </w:p>
  </w:footnote>
  <w:footnote w:id="3">
    <w:p w:rsidR="00A829E7" w:rsidRDefault="00A829E7" w:rsidP="00A829E7">
      <w:pPr>
        <w:pStyle w:val="Fotnotstext"/>
      </w:pPr>
      <w:r>
        <w:rPr>
          <w:rStyle w:val="Fotnotsreferens"/>
        </w:rPr>
        <w:footnoteRef/>
      </w:r>
      <w:r>
        <w:t xml:space="preserve"> Pensionsmyndigheten,</w:t>
      </w:r>
      <w:r w:rsidRPr="00E0392D">
        <w:rPr>
          <w:i/>
        </w:rPr>
        <w:t xml:space="preserve"> Indexering av pensionerna</w:t>
      </w:r>
      <w:r>
        <w:t xml:space="preserve">, </w:t>
      </w:r>
      <w:r w:rsidRPr="00E0392D">
        <w:t>PM</w:t>
      </w:r>
      <w:r w:rsidR="007F1CAE">
        <w:t xml:space="preserve"> </w:t>
      </w:r>
      <w:r w:rsidRPr="00E0392D">
        <w:t>7616</w:t>
      </w:r>
    </w:p>
  </w:footnote>
  <w:footnote w:id="4">
    <w:p w:rsidR="009974A4" w:rsidRDefault="009974A4">
      <w:pPr>
        <w:pStyle w:val="Fotnotstext"/>
      </w:pPr>
      <w:r>
        <w:rPr>
          <w:rStyle w:val="Fotnotsreferens"/>
        </w:rPr>
        <w:footnoteRef/>
      </w:r>
      <w:r>
        <w:t xml:space="preserve"> Finansdepartementet, </w:t>
      </w:r>
      <w:r w:rsidRPr="004824F9">
        <w:rPr>
          <w:i/>
        </w:rPr>
        <w:t>Beräkningskonventioner</w:t>
      </w:r>
      <w:r w:rsidR="009177CB">
        <w:rPr>
          <w:i/>
        </w:rPr>
        <w:t xml:space="preserve"> </w:t>
      </w:r>
      <w:r w:rsidRPr="004824F9">
        <w:t>– Metoder för effektberäkningar vid ändrade skatteregler</w:t>
      </w:r>
    </w:p>
  </w:footnote>
  <w:footnote w:id="5">
    <w:p w:rsidR="00FC3F36" w:rsidRDefault="00FC3F36">
      <w:pPr>
        <w:pStyle w:val="Fotnotstext"/>
      </w:pPr>
      <w:r>
        <w:rPr>
          <w:rStyle w:val="Fotnotsreferens"/>
        </w:rPr>
        <w:footnoteRef/>
      </w:r>
      <w:r>
        <w:t xml:space="preserve"> </w:t>
      </w:r>
      <w:r w:rsidRPr="00FC3F36">
        <w:t xml:space="preserve">Pensionsmyndighetens webbplats </w:t>
      </w:r>
      <w:r>
        <w:t xml:space="preserve">om </w:t>
      </w:r>
      <w:hyperlink r:id="rId2" w:history="1">
        <w:r w:rsidR="00884F1C">
          <w:rPr>
            <w:rStyle w:val="Hyperlnk"/>
          </w:rPr>
          <w:t>b</w:t>
        </w:r>
        <w:r w:rsidRPr="00FC3F36">
          <w:rPr>
            <w:rStyle w:val="Hyperlnk"/>
          </w:rPr>
          <w:t>ostadstillägg</w:t>
        </w:r>
      </w:hyperlink>
    </w:p>
  </w:footnote>
  <w:footnote w:id="6">
    <w:p w:rsidR="00FC3F36" w:rsidRDefault="00FC3F36">
      <w:pPr>
        <w:pStyle w:val="Fotnotstext"/>
      </w:pPr>
      <w:r>
        <w:rPr>
          <w:rStyle w:val="Fotnotsreferens"/>
        </w:rPr>
        <w:footnoteRef/>
      </w:r>
      <w:r>
        <w:t xml:space="preserve"> </w:t>
      </w:r>
      <w:r w:rsidRPr="00FC3F36">
        <w:t xml:space="preserve">Pensionsmyndighetens webbplats </w:t>
      </w:r>
      <w:r>
        <w:t xml:space="preserve">om </w:t>
      </w:r>
      <w:hyperlink r:id="rId3" w:history="1">
        <w:r w:rsidR="00884F1C">
          <w:rPr>
            <w:rStyle w:val="Hyperlnk"/>
          </w:rPr>
          <w:t>ä</w:t>
        </w:r>
        <w:r w:rsidRPr="00FC3F36">
          <w:rPr>
            <w:rStyle w:val="Hyperlnk"/>
          </w:rPr>
          <w:t>ldreförsörjningsstöd</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8C" w:rsidRDefault="007F1CAE" w:rsidP="00B5535C">
    <w:pPr>
      <w:framePr w:w="9780" w:hSpace="142" w:wrap="around" w:vAnchor="page" w:hAnchor="page" w:x="1560" w:y="725"/>
      <w:spacing w:line="240" w:lineRule="auto"/>
      <w:ind w:right="275"/>
      <w:jc w:val="right"/>
      <w:rPr>
        <w:sz w:val="4"/>
      </w:rPr>
    </w:pPr>
    <w:bookmarkStart w:id="5" w:name="SvenskaLiten"/>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26.4pt">
          <v:imagedata r:id="rId1" o:title="RiksdagenSvart"/>
        </v:shape>
      </w:pict>
    </w:r>
  </w:p>
  <w:p w:rsidR="000C2F8C" w:rsidRDefault="000C2F8C" w:rsidP="008236F3">
    <w:pPr>
      <w:framePr w:hSpace="142" w:wrap="around" w:vAnchor="page" w:hAnchor="page" w:x="9255" w:y="725"/>
      <w:spacing w:line="240" w:lineRule="auto"/>
      <w:rPr>
        <w:sz w:val="4"/>
      </w:rPr>
    </w:pPr>
  </w:p>
  <w:p w:rsidR="000C2F8C" w:rsidRDefault="000C2F8C" w:rsidP="00CF25D1">
    <w:pPr>
      <w:pStyle w:val="NormalKompakt"/>
    </w:pPr>
  </w:p>
  <w:p w:rsidR="000C2F8C" w:rsidRDefault="000C2F8C" w:rsidP="00CF25D1">
    <w:pPr>
      <w:pStyle w:val="NormalKompakt"/>
    </w:pPr>
  </w:p>
  <w:bookmarkEnd w:id="5"/>
  <w:p w:rsidR="000C2F8C" w:rsidRDefault="000C2F8C" w:rsidP="00CF25D1">
    <w:pPr>
      <w:pStyle w:val="NormalKompakt"/>
    </w:pPr>
  </w:p>
  <w:p w:rsidR="000C2F8C" w:rsidRDefault="000C2F8C" w:rsidP="00CF25D1">
    <w:pPr>
      <w:pStyle w:val="NormalKompakt"/>
    </w:pPr>
  </w:p>
  <w:p w:rsidR="000C2F8C" w:rsidRDefault="000C2F8C" w:rsidP="00666060">
    <w:pPr>
      <w:pStyle w:val="NormalKompakt"/>
    </w:pPr>
  </w:p>
  <w:p w:rsidR="000C2F8C" w:rsidRDefault="000C2F8C" w:rsidP="00666060">
    <w:pPr>
      <w:pStyle w:val="NormalKompak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F8C" w:rsidRDefault="007F1CAE" w:rsidP="0001475F">
    <w:pPr>
      <w:pStyle w:val="logo"/>
      <w:framePr w:w="9499" w:wrap="around" w:x="1701" w:y="727"/>
      <w:ind w:firstLine="142"/>
      <w:jc w:val="right"/>
    </w:pPr>
    <w:bookmarkStart w:id="6" w:name="Svenska"/>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4pt;height:30pt">
          <v:imagedata r:id="rId1" o:title="RiksdagenSvart"/>
        </v:shape>
      </w:pict>
    </w:r>
    <w:bookmarkEnd w:id="6"/>
  </w:p>
  <w:p w:rsidR="000C2F8C" w:rsidRDefault="000C2F8C" w:rsidP="000A3BEC">
    <w:pPr>
      <w:pStyle w:val="logo"/>
      <w:framePr w:wrap="around" w:x="8790" w:y="727"/>
    </w:pPr>
  </w:p>
  <w:tbl>
    <w:tblPr>
      <w:tblW w:w="7230" w:type="dxa"/>
      <w:tblCellMar>
        <w:left w:w="0" w:type="dxa"/>
        <w:right w:w="0" w:type="dxa"/>
      </w:tblCellMar>
      <w:tblLook w:val="01E0" w:firstRow="1" w:lastRow="1" w:firstColumn="1" w:lastColumn="1" w:noHBand="0" w:noVBand="0"/>
    </w:tblPr>
    <w:tblGrid>
      <w:gridCol w:w="7230"/>
    </w:tblGrid>
    <w:tr w:rsidR="000C2F8C" w:rsidTr="002451C3">
      <w:trPr>
        <w:trHeight w:val="1531"/>
      </w:trPr>
      <w:tc>
        <w:tcPr>
          <w:tcW w:w="7230" w:type="dxa"/>
        </w:tcPr>
        <w:p w:rsidR="000C2F8C" w:rsidRDefault="000C2F8C" w:rsidP="00D70B1D"/>
      </w:tc>
    </w:tr>
  </w:tbl>
  <w:p w:rsidR="000C2F8C" w:rsidRDefault="000C2F8C" w:rsidP="006460A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5627AE8"/>
    <w:lvl w:ilvl="0">
      <w:start w:val="1"/>
      <w:numFmt w:val="decimal"/>
      <w:lvlText w:val="%1."/>
      <w:lvlJc w:val="left"/>
      <w:pPr>
        <w:tabs>
          <w:tab w:val="num" w:pos="1492"/>
        </w:tabs>
        <w:ind w:left="1492" w:hanging="360"/>
      </w:pPr>
    </w:lvl>
  </w:abstractNum>
  <w:abstractNum w:abstractNumId="1">
    <w:nsid w:val="FFFFFF7D"/>
    <w:multiLevelType w:val="singleLevel"/>
    <w:tmpl w:val="1ABE3724"/>
    <w:lvl w:ilvl="0">
      <w:start w:val="1"/>
      <w:numFmt w:val="decimal"/>
      <w:lvlText w:val="%1."/>
      <w:lvlJc w:val="left"/>
      <w:pPr>
        <w:tabs>
          <w:tab w:val="num" w:pos="1209"/>
        </w:tabs>
        <w:ind w:left="1209" w:hanging="360"/>
      </w:pPr>
    </w:lvl>
  </w:abstractNum>
  <w:abstractNum w:abstractNumId="2">
    <w:nsid w:val="FFFFFF7E"/>
    <w:multiLevelType w:val="singleLevel"/>
    <w:tmpl w:val="FB8A7586"/>
    <w:lvl w:ilvl="0">
      <w:start w:val="1"/>
      <w:numFmt w:val="decimal"/>
      <w:lvlText w:val="%1."/>
      <w:lvlJc w:val="left"/>
      <w:pPr>
        <w:tabs>
          <w:tab w:val="num" w:pos="926"/>
        </w:tabs>
        <w:ind w:left="926" w:hanging="360"/>
      </w:pPr>
    </w:lvl>
  </w:abstractNum>
  <w:abstractNum w:abstractNumId="3">
    <w:nsid w:val="FFFFFF7F"/>
    <w:multiLevelType w:val="singleLevel"/>
    <w:tmpl w:val="C9BCA550"/>
    <w:lvl w:ilvl="0">
      <w:start w:val="1"/>
      <w:numFmt w:val="decimal"/>
      <w:lvlText w:val="%1."/>
      <w:lvlJc w:val="left"/>
      <w:pPr>
        <w:tabs>
          <w:tab w:val="num" w:pos="643"/>
        </w:tabs>
        <w:ind w:left="643" w:hanging="360"/>
      </w:pPr>
    </w:lvl>
  </w:abstractNum>
  <w:abstractNum w:abstractNumId="4">
    <w:nsid w:val="FFFFFF80"/>
    <w:multiLevelType w:val="singleLevel"/>
    <w:tmpl w:val="C480117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5BC27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1C98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DE40D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0612C8"/>
    <w:lvl w:ilvl="0">
      <w:start w:val="1"/>
      <w:numFmt w:val="decimal"/>
      <w:lvlText w:val="%1."/>
      <w:lvlJc w:val="left"/>
      <w:pPr>
        <w:tabs>
          <w:tab w:val="num" w:pos="360"/>
        </w:tabs>
        <w:ind w:left="360" w:hanging="360"/>
      </w:pPr>
    </w:lvl>
  </w:abstractNum>
  <w:abstractNum w:abstractNumId="9">
    <w:nsid w:val="FFFFFF89"/>
    <w:multiLevelType w:val="singleLevel"/>
    <w:tmpl w:val="AD9CB2FC"/>
    <w:lvl w:ilvl="0">
      <w:start w:val="1"/>
      <w:numFmt w:val="bullet"/>
      <w:lvlText w:val=""/>
      <w:lvlJc w:val="left"/>
      <w:pPr>
        <w:tabs>
          <w:tab w:val="num" w:pos="360"/>
        </w:tabs>
        <w:ind w:left="360" w:hanging="360"/>
      </w:pPr>
      <w:rPr>
        <w:rFonts w:ascii="Symbol" w:hAnsi="Symbol" w:hint="default"/>
      </w:rPr>
    </w:lvl>
  </w:abstractNum>
  <w:abstractNum w:abstractNumId="10">
    <w:nsid w:val="0D2A432E"/>
    <w:multiLevelType w:val="hybridMultilevel"/>
    <w:tmpl w:val="09402DE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nsid w:val="12434DFB"/>
    <w:multiLevelType w:val="hybridMultilevel"/>
    <w:tmpl w:val="181A26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1CAA5F23"/>
    <w:multiLevelType w:val="multilevel"/>
    <w:tmpl w:val="208290A4"/>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2B870363"/>
    <w:multiLevelType w:val="hybridMultilevel"/>
    <w:tmpl w:val="F8B272B4"/>
    <w:lvl w:ilvl="0" w:tplc="2D0CA15E">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nsid w:val="2F9F21E3"/>
    <w:multiLevelType w:val="multilevel"/>
    <w:tmpl w:val="B86A5F2C"/>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5">
    <w:nsid w:val="3B266917"/>
    <w:multiLevelType w:val="multilevel"/>
    <w:tmpl w:val="208290A4"/>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4BC1769B"/>
    <w:multiLevelType w:val="multilevel"/>
    <w:tmpl w:val="09402D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C287063"/>
    <w:multiLevelType w:val="hybridMultilevel"/>
    <w:tmpl w:val="E1B8CD8A"/>
    <w:lvl w:ilvl="0" w:tplc="1C263B8C">
      <w:start w:val="1"/>
      <w:numFmt w:val="bullet"/>
      <w:pStyle w:val="Punktlista"/>
      <w:lvlText w:val=""/>
      <w:lvlJc w:val="left"/>
      <w:pPr>
        <w:tabs>
          <w:tab w:val="num" w:pos="284"/>
        </w:tabs>
        <w:ind w:left="284" w:hanging="284"/>
      </w:pPr>
      <w:rPr>
        <w:rFonts w:ascii="Symbol" w:hAnsi="Symbol" w:hint="default"/>
      </w:rPr>
    </w:lvl>
    <w:lvl w:ilvl="1" w:tplc="041D0003" w:tentative="1">
      <w:start w:val="1"/>
      <w:numFmt w:val="bullet"/>
      <w:lvlText w:val="o"/>
      <w:lvlJc w:val="left"/>
      <w:pPr>
        <w:tabs>
          <w:tab w:val="num" w:pos="1724"/>
        </w:tabs>
        <w:ind w:left="1724" w:hanging="360"/>
      </w:pPr>
      <w:rPr>
        <w:rFonts w:ascii="Courier New" w:hAnsi="Courier New" w:cs="Courier New" w:hint="default"/>
      </w:rPr>
    </w:lvl>
    <w:lvl w:ilvl="2" w:tplc="041D0005" w:tentative="1">
      <w:start w:val="1"/>
      <w:numFmt w:val="bullet"/>
      <w:lvlText w:val=""/>
      <w:lvlJc w:val="left"/>
      <w:pPr>
        <w:tabs>
          <w:tab w:val="num" w:pos="2444"/>
        </w:tabs>
        <w:ind w:left="2444" w:hanging="360"/>
      </w:pPr>
      <w:rPr>
        <w:rFonts w:ascii="Wingdings" w:hAnsi="Wingdings" w:hint="default"/>
      </w:rPr>
    </w:lvl>
    <w:lvl w:ilvl="3" w:tplc="041D0001" w:tentative="1">
      <w:start w:val="1"/>
      <w:numFmt w:val="bullet"/>
      <w:lvlText w:val=""/>
      <w:lvlJc w:val="left"/>
      <w:pPr>
        <w:tabs>
          <w:tab w:val="num" w:pos="3164"/>
        </w:tabs>
        <w:ind w:left="3164" w:hanging="360"/>
      </w:pPr>
      <w:rPr>
        <w:rFonts w:ascii="Symbol" w:hAnsi="Symbol" w:hint="default"/>
      </w:rPr>
    </w:lvl>
    <w:lvl w:ilvl="4" w:tplc="041D0003" w:tentative="1">
      <w:start w:val="1"/>
      <w:numFmt w:val="bullet"/>
      <w:lvlText w:val="o"/>
      <w:lvlJc w:val="left"/>
      <w:pPr>
        <w:tabs>
          <w:tab w:val="num" w:pos="3884"/>
        </w:tabs>
        <w:ind w:left="3884" w:hanging="360"/>
      </w:pPr>
      <w:rPr>
        <w:rFonts w:ascii="Courier New" w:hAnsi="Courier New" w:cs="Courier New" w:hint="default"/>
      </w:rPr>
    </w:lvl>
    <w:lvl w:ilvl="5" w:tplc="041D0005" w:tentative="1">
      <w:start w:val="1"/>
      <w:numFmt w:val="bullet"/>
      <w:lvlText w:val=""/>
      <w:lvlJc w:val="left"/>
      <w:pPr>
        <w:tabs>
          <w:tab w:val="num" w:pos="4604"/>
        </w:tabs>
        <w:ind w:left="4604" w:hanging="360"/>
      </w:pPr>
      <w:rPr>
        <w:rFonts w:ascii="Wingdings" w:hAnsi="Wingdings" w:hint="default"/>
      </w:rPr>
    </w:lvl>
    <w:lvl w:ilvl="6" w:tplc="041D0001" w:tentative="1">
      <w:start w:val="1"/>
      <w:numFmt w:val="bullet"/>
      <w:lvlText w:val=""/>
      <w:lvlJc w:val="left"/>
      <w:pPr>
        <w:tabs>
          <w:tab w:val="num" w:pos="5324"/>
        </w:tabs>
        <w:ind w:left="5324" w:hanging="360"/>
      </w:pPr>
      <w:rPr>
        <w:rFonts w:ascii="Symbol" w:hAnsi="Symbol" w:hint="default"/>
      </w:rPr>
    </w:lvl>
    <w:lvl w:ilvl="7" w:tplc="041D0003" w:tentative="1">
      <w:start w:val="1"/>
      <w:numFmt w:val="bullet"/>
      <w:lvlText w:val="o"/>
      <w:lvlJc w:val="left"/>
      <w:pPr>
        <w:tabs>
          <w:tab w:val="num" w:pos="6044"/>
        </w:tabs>
        <w:ind w:left="6044" w:hanging="360"/>
      </w:pPr>
      <w:rPr>
        <w:rFonts w:ascii="Courier New" w:hAnsi="Courier New" w:cs="Courier New" w:hint="default"/>
      </w:rPr>
    </w:lvl>
    <w:lvl w:ilvl="8" w:tplc="041D0005" w:tentative="1">
      <w:start w:val="1"/>
      <w:numFmt w:val="bullet"/>
      <w:lvlText w:val=""/>
      <w:lvlJc w:val="left"/>
      <w:pPr>
        <w:tabs>
          <w:tab w:val="num" w:pos="6764"/>
        </w:tabs>
        <w:ind w:left="6764" w:hanging="360"/>
      </w:pPr>
      <w:rPr>
        <w:rFonts w:ascii="Wingdings" w:hAnsi="Wingdings" w:hint="default"/>
      </w:rPr>
    </w:lvl>
  </w:abstractNum>
  <w:abstractNum w:abstractNumId="18">
    <w:nsid w:val="5215275C"/>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2616F32"/>
    <w:multiLevelType w:val="hybridMultilevel"/>
    <w:tmpl w:val="9A288C0A"/>
    <w:lvl w:ilvl="0" w:tplc="CDAA99AA">
      <w:start w:val="1"/>
      <w:numFmt w:val="bullet"/>
      <w:pStyle w:val="Punktlistautanluft"/>
      <w:lvlText w:val=""/>
      <w:lvlJc w:val="left"/>
      <w:pPr>
        <w:tabs>
          <w:tab w:val="num" w:pos="-3"/>
        </w:tabs>
        <w:ind w:left="264" w:hanging="264"/>
      </w:pPr>
      <w:rPr>
        <w:rFonts w:ascii="Symbol" w:hAnsi="Symbol" w:hint="default"/>
      </w:rPr>
    </w:lvl>
    <w:lvl w:ilvl="1" w:tplc="7FE2828E">
      <w:start w:val="1"/>
      <w:numFmt w:val="bullet"/>
      <w:pStyle w:val="Punktlista2"/>
      <w:lvlText w:val="o"/>
      <w:lvlJc w:val="left"/>
      <w:pPr>
        <w:tabs>
          <w:tab w:val="num" w:pos="1080"/>
        </w:tabs>
        <w:ind w:left="1080" w:hanging="360"/>
      </w:pPr>
      <w:rPr>
        <w:rFonts w:ascii="Courier New" w:hAnsi="Courier New" w:cs="Courier New" w:hint="default"/>
      </w:rPr>
    </w:lvl>
    <w:lvl w:ilvl="2" w:tplc="5CA8FD24">
      <w:start w:val="1"/>
      <w:numFmt w:val="bullet"/>
      <w:pStyle w:val="Punktlista3"/>
      <w:lvlText w:val=""/>
      <w:lvlJc w:val="left"/>
      <w:pPr>
        <w:tabs>
          <w:tab w:val="num" w:pos="1800"/>
        </w:tabs>
        <w:ind w:left="1800" w:hanging="360"/>
      </w:pPr>
      <w:rPr>
        <w:rFonts w:ascii="Wingdings" w:hAnsi="Wingdings" w:hint="default"/>
      </w:rPr>
    </w:lvl>
    <w:lvl w:ilvl="3" w:tplc="B0BEEBEE">
      <w:start w:val="1"/>
      <w:numFmt w:val="bullet"/>
      <w:pStyle w:val="Punktlista4"/>
      <w:lvlText w:val=""/>
      <w:lvlJc w:val="left"/>
      <w:pPr>
        <w:tabs>
          <w:tab w:val="num" w:pos="2520"/>
        </w:tabs>
        <w:ind w:left="2520" w:hanging="360"/>
      </w:pPr>
      <w:rPr>
        <w:rFonts w:ascii="Symbol" w:hAnsi="Symbol" w:hint="default"/>
      </w:rPr>
    </w:lvl>
    <w:lvl w:ilvl="4" w:tplc="041D0003">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nsid w:val="78AD49A1"/>
    <w:multiLevelType w:val="multilevel"/>
    <w:tmpl w:val="09402DEC"/>
    <w:lvl w:ilvl="0">
      <w:start w:val="1"/>
      <w:numFmt w:val="bullet"/>
      <w:lvlText w:val=""/>
      <w:lvlJc w:val="left"/>
      <w:pPr>
        <w:tabs>
          <w:tab w:val="num" w:pos="720"/>
        </w:tabs>
        <w:ind w:left="720" w:hanging="360"/>
      </w:pPr>
      <w:rPr>
        <w:rFonts w:ascii="Symbol" w:hAnsi="Symbol"/>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8"/>
  </w:num>
  <w:num w:numId="13">
    <w:abstractNumId w:val="20"/>
  </w:num>
  <w:num w:numId="14">
    <w:abstractNumId w:val="16"/>
  </w:num>
  <w:num w:numId="15">
    <w:abstractNumId w:val="19"/>
  </w:num>
  <w:num w:numId="16">
    <w:abstractNumId w:val="17"/>
  </w:num>
  <w:num w:numId="17">
    <w:abstractNumId w:val="14"/>
  </w:num>
  <w:num w:numId="18">
    <w:abstractNumId w:val="13"/>
  </w:num>
  <w:num w:numId="19">
    <w:abstractNumId w:val="15"/>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8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vsändare1" w:val="Falskt"/>
    <w:docVar w:name="Avsändare2" w:val="Falskt"/>
    <w:docVar w:name="Avsändare3" w:val="Sant"/>
    <w:docVar w:name="Avsändare4" w:val="Falskt"/>
    <w:docVar w:name="Avsändare5" w:val="Sant"/>
    <w:docVar w:name="LogoFärg" w:val="Svart"/>
    <w:docVar w:name="Namn" w:val="Anna Enström Järleborg"/>
    <w:docVar w:name="RedanKörd" w:val="Sant"/>
    <w:docVar w:name="SidfotHemort" w:val="Falskt"/>
    <w:docVar w:name="SidfotRiksdag" w:val="Sant"/>
    <w:docVar w:name="SidfotStockholm" w:val="Falskt"/>
    <w:docVar w:name="Språk" w:val="Svenska"/>
  </w:docVars>
  <w:rsids>
    <w:rsidRoot w:val="00D70B1D"/>
    <w:rsid w:val="00001CB6"/>
    <w:rsid w:val="000046DD"/>
    <w:rsid w:val="00006FDD"/>
    <w:rsid w:val="0001475F"/>
    <w:rsid w:val="00014B94"/>
    <w:rsid w:val="00017E58"/>
    <w:rsid w:val="000228A5"/>
    <w:rsid w:val="000244B6"/>
    <w:rsid w:val="00026AC8"/>
    <w:rsid w:val="0003283A"/>
    <w:rsid w:val="00042019"/>
    <w:rsid w:val="000441AD"/>
    <w:rsid w:val="00050417"/>
    <w:rsid w:val="00050843"/>
    <w:rsid w:val="0006222D"/>
    <w:rsid w:val="00065C00"/>
    <w:rsid w:val="000668F3"/>
    <w:rsid w:val="0007271C"/>
    <w:rsid w:val="00073A8F"/>
    <w:rsid w:val="00084818"/>
    <w:rsid w:val="0008779F"/>
    <w:rsid w:val="00094025"/>
    <w:rsid w:val="00094E52"/>
    <w:rsid w:val="00095C3B"/>
    <w:rsid w:val="000A1FD1"/>
    <w:rsid w:val="000A3BEC"/>
    <w:rsid w:val="000A4E68"/>
    <w:rsid w:val="000A6F74"/>
    <w:rsid w:val="000A7D99"/>
    <w:rsid w:val="000B04E9"/>
    <w:rsid w:val="000B4314"/>
    <w:rsid w:val="000C2F8C"/>
    <w:rsid w:val="000C3B94"/>
    <w:rsid w:val="000C4851"/>
    <w:rsid w:val="000C70D7"/>
    <w:rsid w:val="000D57AD"/>
    <w:rsid w:val="000E0A34"/>
    <w:rsid w:val="000E2009"/>
    <w:rsid w:val="000E2903"/>
    <w:rsid w:val="000E57F3"/>
    <w:rsid w:val="000F13CE"/>
    <w:rsid w:val="001049C5"/>
    <w:rsid w:val="00112E6B"/>
    <w:rsid w:val="00120F5D"/>
    <w:rsid w:val="00122859"/>
    <w:rsid w:val="00130738"/>
    <w:rsid w:val="00143194"/>
    <w:rsid w:val="00143423"/>
    <w:rsid w:val="00144393"/>
    <w:rsid w:val="00144676"/>
    <w:rsid w:val="001471A0"/>
    <w:rsid w:val="00152B5D"/>
    <w:rsid w:val="0015385F"/>
    <w:rsid w:val="00153F30"/>
    <w:rsid w:val="00156DF8"/>
    <w:rsid w:val="0015753F"/>
    <w:rsid w:val="00160B4B"/>
    <w:rsid w:val="00161F00"/>
    <w:rsid w:val="00166508"/>
    <w:rsid w:val="00173C5D"/>
    <w:rsid w:val="00183236"/>
    <w:rsid w:val="00187307"/>
    <w:rsid w:val="00193322"/>
    <w:rsid w:val="001A25B0"/>
    <w:rsid w:val="001A35DC"/>
    <w:rsid w:val="001B032A"/>
    <w:rsid w:val="001B57B3"/>
    <w:rsid w:val="001B6778"/>
    <w:rsid w:val="001D14EC"/>
    <w:rsid w:val="001D1A16"/>
    <w:rsid w:val="001D3F71"/>
    <w:rsid w:val="001D5A83"/>
    <w:rsid w:val="001E2A76"/>
    <w:rsid w:val="001F4AF3"/>
    <w:rsid w:val="001F5A6C"/>
    <w:rsid w:val="00210CF6"/>
    <w:rsid w:val="00213E65"/>
    <w:rsid w:val="00221257"/>
    <w:rsid w:val="002263CE"/>
    <w:rsid w:val="002451C3"/>
    <w:rsid w:val="00253092"/>
    <w:rsid w:val="00254B93"/>
    <w:rsid w:val="00257937"/>
    <w:rsid w:val="00277D4B"/>
    <w:rsid w:val="002823FB"/>
    <w:rsid w:val="00282F8B"/>
    <w:rsid w:val="002856EE"/>
    <w:rsid w:val="00291258"/>
    <w:rsid w:val="00293865"/>
    <w:rsid w:val="002A2DB3"/>
    <w:rsid w:val="002A344C"/>
    <w:rsid w:val="002B4EDE"/>
    <w:rsid w:val="002B4F43"/>
    <w:rsid w:val="002D2F13"/>
    <w:rsid w:val="002D63D1"/>
    <w:rsid w:val="002D6B02"/>
    <w:rsid w:val="002E18A5"/>
    <w:rsid w:val="002E3117"/>
    <w:rsid w:val="002F2920"/>
    <w:rsid w:val="002F4431"/>
    <w:rsid w:val="003031AF"/>
    <w:rsid w:val="00310B5B"/>
    <w:rsid w:val="00317954"/>
    <w:rsid w:val="00320BE1"/>
    <w:rsid w:val="00327205"/>
    <w:rsid w:val="00330EA3"/>
    <w:rsid w:val="003544C9"/>
    <w:rsid w:val="00354892"/>
    <w:rsid w:val="00356808"/>
    <w:rsid w:val="003606D6"/>
    <w:rsid w:val="00360DCB"/>
    <w:rsid w:val="00361D5C"/>
    <w:rsid w:val="00366A8A"/>
    <w:rsid w:val="00373590"/>
    <w:rsid w:val="0038684B"/>
    <w:rsid w:val="003969B4"/>
    <w:rsid w:val="003A1B07"/>
    <w:rsid w:val="003A1B7B"/>
    <w:rsid w:val="003A2FEE"/>
    <w:rsid w:val="003A4E01"/>
    <w:rsid w:val="003A5EB6"/>
    <w:rsid w:val="003C6FAB"/>
    <w:rsid w:val="003C78BF"/>
    <w:rsid w:val="003D1399"/>
    <w:rsid w:val="003D5DE0"/>
    <w:rsid w:val="003E16CE"/>
    <w:rsid w:val="003E3082"/>
    <w:rsid w:val="003E332E"/>
    <w:rsid w:val="003F24D1"/>
    <w:rsid w:val="003F6263"/>
    <w:rsid w:val="00401EAA"/>
    <w:rsid w:val="0040795B"/>
    <w:rsid w:val="004103EF"/>
    <w:rsid w:val="00415217"/>
    <w:rsid w:val="004170D9"/>
    <w:rsid w:val="00422861"/>
    <w:rsid w:val="00433FE4"/>
    <w:rsid w:val="00436FFF"/>
    <w:rsid w:val="004408BA"/>
    <w:rsid w:val="004415D9"/>
    <w:rsid w:val="00445B2C"/>
    <w:rsid w:val="00447CB3"/>
    <w:rsid w:val="00454C8A"/>
    <w:rsid w:val="00457AE1"/>
    <w:rsid w:val="004633A8"/>
    <w:rsid w:val="004674FC"/>
    <w:rsid w:val="004728AD"/>
    <w:rsid w:val="004824F9"/>
    <w:rsid w:val="004836E2"/>
    <w:rsid w:val="0048472E"/>
    <w:rsid w:val="0049451E"/>
    <w:rsid w:val="00494C11"/>
    <w:rsid w:val="00494EEE"/>
    <w:rsid w:val="004A0FAA"/>
    <w:rsid w:val="004A3237"/>
    <w:rsid w:val="004A4562"/>
    <w:rsid w:val="004A73D4"/>
    <w:rsid w:val="004C2450"/>
    <w:rsid w:val="004E2B6D"/>
    <w:rsid w:val="004E3961"/>
    <w:rsid w:val="004E66F8"/>
    <w:rsid w:val="004F5F02"/>
    <w:rsid w:val="005063F1"/>
    <w:rsid w:val="0051338E"/>
    <w:rsid w:val="00522E29"/>
    <w:rsid w:val="00524766"/>
    <w:rsid w:val="00527427"/>
    <w:rsid w:val="00527B65"/>
    <w:rsid w:val="00540BC4"/>
    <w:rsid w:val="0054224B"/>
    <w:rsid w:val="00542BC3"/>
    <w:rsid w:val="0054559A"/>
    <w:rsid w:val="00546A9C"/>
    <w:rsid w:val="00553050"/>
    <w:rsid w:val="00554E9A"/>
    <w:rsid w:val="00557E95"/>
    <w:rsid w:val="00563ADD"/>
    <w:rsid w:val="00564A94"/>
    <w:rsid w:val="0058297F"/>
    <w:rsid w:val="00586247"/>
    <w:rsid w:val="00591132"/>
    <w:rsid w:val="005929C7"/>
    <w:rsid w:val="00594058"/>
    <w:rsid w:val="00594245"/>
    <w:rsid w:val="00595274"/>
    <w:rsid w:val="00596F4D"/>
    <w:rsid w:val="005A40D1"/>
    <w:rsid w:val="005B4F14"/>
    <w:rsid w:val="005C17AE"/>
    <w:rsid w:val="005E5FD3"/>
    <w:rsid w:val="005F4C2D"/>
    <w:rsid w:val="00607411"/>
    <w:rsid w:val="006111BD"/>
    <w:rsid w:val="00611ED3"/>
    <w:rsid w:val="00624848"/>
    <w:rsid w:val="006263F6"/>
    <w:rsid w:val="00630879"/>
    <w:rsid w:val="006366F5"/>
    <w:rsid w:val="00636DEB"/>
    <w:rsid w:val="0063729F"/>
    <w:rsid w:val="00640281"/>
    <w:rsid w:val="00643D4F"/>
    <w:rsid w:val="006460AA"/>
    <w:rsid w:val="006465CA"/>
    <w:rsid w:val="00650DD1"/>
    <w:rsid w:val="00653E71"/>
    <w:rsid w:val="0065410D"/>
    <w:rsid w:val="00654972"/>
    <w:rsid w:val="00657924"/>
    <w:rsid w:val="00657A70"/>
    <w:rsid w:val="00661DA4"/>
    <w:rsid w:val="00665444"/>
    <w:rsid w:val="00666060"/>
    <w:rsid w:val="006665AC"/>
    <w:rsid w:val="006721FB"/>
    <w:rsid w:val="0068413A"/>
    <w:rsid w:val="00684C62"/>
    <w:rsid w:val="00685C05"/>
    <w:rsid w:val="006863C5"/>
    <w:rsid w:val="006874DE"/>
    <w:rsid w:val="0069358C"/>
    <w:rsid w:val="006A1E68"/>
    <w:rsid w:val="006A2685"/>
    <w:rsid w:val="006A4DC6"/>
    <w:rsid w:val="006A5E1C"/>
    <w:rsid w:val="006B2EBA"/>
    <w:rsid w:val="006B48A5"/>
    <w:rsid w:val="006D302D"/>
    <w:rsid w:val="006E1096"/>
    <w:rsid w:val="006E36B0"/>
    <w:rsid w:val="006F0010"/>
    <w:rsid w:val="006F0DF5"/>
    <w:rsid w:val="006F6C65"/>
    <w:rsid w:val="0071190A"/>
    <w:rsid w:val="00713077"/>
    <w:rsid w:val="007200A8"/>
    <w:rsid w:val="0073007F"/>
    <w:rsid w:val="00731D7A"/>
    <w:rsid w:val="00732AAE"/>
    <w:rsid w:val="007341BE"/>
    <w:rsid w:val="00737A35"/>
    <w:rsid w:val="00742ECC"/>
    <w:rsid w:val="00750FD7"/>
    <w:rsid w:val="007543E7"/>
    <w:rsid w:val="00757695"/>
    <w:rsid w:val="00766347"/>
    <w:rsid w:val="00772788"/>
    <w:rsid w:val="007A3700"/>
    <w:rsid w:val="007A3D56"/>
    <w:rsid w:val="007A447C"/>
    <w:rsid w:val="007A617E"/>
    <w:rsid w:val="007A6951"/>
    <w:rsid w:val="007C2B59"/>
    <w:rsid w:val="007D0471"/>
    <w:rsid w:val="007D3052"/>
    <w:rsid w:val="007E06AC"/>
    <w:rsid w:val="007E5BA3"/>
    <w:rsid w:val="007F1CAE"/>
    <w:rsid w:val="007F498A"/>
    <w:rsid w:val="007F63E0"/>
    <w:rsid w:val="007F75D2"/>
    <w:rsid w:val="00804702"/>
    <w:rsid w:val="008108E8"/>
    <w:rsid w:val="008236F3"/>
    <w:rsid w:val="00823BCE"/>
    <w:rsid w:val="00824FD1"/>
    <w:rsid w:val="008316A6"/>
    <w:rsid w:val="0083183D"/>
    <w:rsid w:val="00834494"/>
    <w:rsid w:val="0083504D"/>
    <w:rsid w:val="0084232C"/>
    <w:rsid w:val="00844227"/>
    <w:rsid w:val="00847D1B"/>
    <w:rsid w:val="0085313D"/>
    <w:rsid w:val="0085704F"/>
    <w:rsid w:val="0086199E"/>
    <w:rsid w:val="00866E6F"/>
    <w:rsid w:val="00880C83"/>
    <w:rsid w:val="00884F1C"/>
    <w:rsid w:val="00885D71"/>
    <w:rsid w:val="00894B42"/>
    <w:rsid w:val="008A400F"/>
    <w:rsid w:val="008B1190"/>
    <w:rsid w:val="008B374B"/>
    <w:rsid w:val="008C626B"/>
    <w:rsid w:val="008C656B"/>
    <w:rsid w:val="008D0154"/>
    <w:rsid w:val="008D3524"/>
    <w:rsid w:val="008D3D36"/>
    <w:rsid w:val="008D771E"/>
    <w:rsid w:val="008E2FF8"/>
    <w:rsid w:val="008E779B"/>
    <w:rsid w:val="008F3867"/>
    <w:rsid w:val="00900852"/>
    <w:rsid w:val="009121EC"/>
    <w:rsid w:val="0091695B"/>
    <w:rsid w:val="009177CB"/>
    <w:rsid w:val="009212CA"/>
    <w:rsid w:val="0092148F"/>
    <w:rsid w:val="00922AE6"/>
    <w:rsid w:val="00933FE2"/>
    <w:rsid w:val="00947FC3"/>
    <w:rsid w:val="009612DD"/>
    <w:rsid w:val="00964A93"/>
    <w:rsid w:val="00967478"/>
    <w:rsid w:val="00971803"/>
    <w:rsid w:val="00975912"/>
    <w:rsid w:val="00980020"/>
    <w:rsid w:val="00982A0D"/>
    <w:rsid w:val="00983024"/>
    <w:rsid w:val="009839D4"/>
    <w:rsid w:val="009867E3"/>
    <w:rsid w:val="00991768"/>
    <w:rsid w:val="00995412"/>
    <w:rsid w:val="009974A4"/>
    <w:rsid w:val="009A4404"/>
    <w:rsid w:val="009A7660"/>
    <w:rsid w:val="009B10F9"/>
    <w:rsid w:val="009C267A"/>
    <w:rsid w:val="009D08F1"/>
    <w:rsid w:val="009E13D3"/>
    <w:rsid w:val="009E1EB2"/>
    <w:rsid w:val="009F0097"/>
    <w:rsid w:val="009F292C"/>
    <w:rsid w:val="00A00A12"/>
    <w:rsid w:val="00A05D01"/>
    <w:rsid w:val="00A07D21"/>
    <w:rsid w:val="00A13A3C"/>
    <w:rsid w:val="00A17000"/>
    <w:rsid w:val="00A22299"/>
    <w:rsid w:val="00A22C8D"/>
    <w:rsid w:val="00A25E76"/>
    <w:rsid w:val="00A375A2"/>
    <w:rsid w:val="00A434F6"/>
    <w:rsid w:val="00A45542"/>
    <w:rsid w:val="00A45BAF"/>
    <w:rsid w:val="00A46314"/>
    <w:rsid w:val="00A46AA3"/>
    <w:rsid w:val="00A56189"/>
    <w:rsid w:val="00A6650D"/>
    <w:rsid w:val="00A70BBA"/>
    <w:rsid w:val="00A70E96"/>
    <w:rsid w:val="00A7151A"/>
    <w:rsid w:val="00A71AF0"/>
    <w:rsid w:val="00A8200A"/>
    <w:rsid w:val="00A829E7"/>
    <w:rsid w:val="00A84F3D"/>
    <w:rsid w:val="00A86BEE"/>
    <w:rsid w:val="00A95A6C"/>
    <w:rsid w:val="00AA5AFA"/>
    <w:rsid w:val="00AB31C7"/>
    <w:rsid w:val="00AB34CA"/>
    <w:rsid w:val="00AB4EC7"/>
    <w:rsid w:val="00AC200B"/>
    <w:rsid w:val="00AD1458"/>
    <w:rsid w:val="00AD2E46"/>
    <w:rsid w:val="00AD33EB"/>
    <w:rsid w:val="00AE057B"/>
    <w:rsid w:val="00AE0823"/>
    <w:rsid w:val="00AE6438"/>
    <w:rsid w:val="00AE7C2E"/>
    <w:rsid w:val="00AF42EC"/>
    <w:rsid w:val="00AF7467"/>
    <w:rsid w:val="00B02A1B"/>
    <w:rsid w:val="00B14319"/>
    <w:rsid w:val="00B2263F"/>
    <w:rsid w:val="00B27AF2"/>
    <w:rsid w:val="00B32F0E"/>
    <w:rsid w:val="00B47411"/>
    <w:rsid w:val="00B47570"/>
    <w:rsid w:val="00B53F5F"/>
    <w:rsid w:val="00B5535C"/>
    <w:rsid w:val="00B64187"/>
    <w:rsid w:val="00B6529F"/>
    <w:rsid w:val="00B731A2"/>
    <w:rsid w:val="00B73945"/>
    <w:rsid w:val="00B739E9"/>
    <w:rsid w:val="00B74F1A"/>
    <w:rsid w:val="00B81274"/>
    <w:rsid w:val="00B9561F"/>
    <w:rsid w:val="00B96F7E"/>
    <w:rsid w:val="00B972B9"/>
    <w:rsid w:val="00BA713F"/>
    <w:rsid w:val="00BB1108"/>
    <w:rsid w:val="00BB1B5A"/>
    <w:rsid w:val="00BB4AD8"/>
    <w:rsid w:val="00BC29B3"/>
    <w:rsid w:val="00BC361B"/>
    <w:rsid w:val="00BC3D77"/>
    <w:rsid w:val="00BC53CA"/>
    <w:rsid w:val="00BC59CF"/>
    <w:rsid w:val="00BD1DC1"/>
    <w:rsid w:val="00BD3EC9"/>
    <w:rsid w:val="00BD7AD5"/>
    <w:rsid w:val="00BE4C8D"/>
    <w:rsid w:val="00BF3B63"/>
    <w:rsid w:val="00C02D69"/>
    <w:rsid w:val="00C22E9A"/>
    <w:rsid w:val="00C2330B"/>
    <w:rsid w:val="00C25016"/>
    <w:rsid w:val="00C3044C"/>
    <w:rsid w:val="00C3103C"/>
    <w:rsid w:val="00C31FAF"/>
    <w:rsid w:val="00C33828"/>
    <w:rsid w:val="00C40FE3"/>
    <w:rsid w:val="00C443E6"/>
    <w:rsid w:val="00C45B5C"/>
    <w:rsid w:val="00C469D0"/>
    <w:rsid w:val="00C50291"/>
    <w:rsid w:val="00C50615"/>
    <w:rsid w:val="00C56279"/>
    <w:rsid w:val="00C611EC"/>
    <w:rsid w:val="00C67D1A"/>
    <w:rsid w:val="00C70038"/>
    <w:rsid w:val="00C717AF"/>
    <w:rsid w:val="00C7328E"/>
    <w:rsid w:val="00C7596A"/>
    <w:rsid w:val="00C8063D"/>
    <w:rsid w:val="00CA10B3"/>
    <w:rsid w:val="00CA1ECA"/>
    <w:rsid w:val="00CB0870"/>
    <w:rsid w:val="00CB279D"/>
    <w:rsid w:val="00CB608A"/>
    <w:rsid w:val="00CC5C34"/>
    <w:rsid w:val="00CD4436"/>
    <w:rsid w:val="00CD5008"/>
    <w:rsid w:val="00CF25D1"/>
    <w:rsid w:val="00CF4FB2"/>
    <w:rsid w:val="00D061B4"/>
    <w:rsid w:val="00D071B3"/>
    <w:rsid w:val="00D16FEF"/>
    <w:rsid w:val="00D17242"/>
    <w:rsid w:val="00D21168"/>
    <w:rsid w:val="00D26443"/>
    <w:rsid w:val="00D338F1"/>
    <w:rsid w:val="00D349DB"/>
    <w:rsid w:val="00D35C71"/>
    <w:rsid w:val="00D6129E"/>
    <w:rsid w:val="00D61EB4"/>
    <w:rsid w:val="00D70B1D"/>
    <w:rsid w:val="00D719E8"/>
    <w:rsid w:val="00D71D04"/>
    <w:rsid w:val="00D72F04"/>
    <w:rsid w:val="00D751FA"/>
    <w:rsid w:val="00D83539"/>
    <w:rsid w:val="00D94EBF"/>
    <w:rsid w:val="00D95C6E"/>
    <w:rsid w:val="00D96322"/>
    <w:rsid w:val="00D96B30"/>
    <w:rsid w:val="00D97E4C"/>
    <w:rsid w:val="00DA1766"/>
    <w:rsid w:val="00DA24DA"/>
    <w:rsid w:val="00DA5E4D"/>
    <w:rsid w:val="00DA6ADF"/>
    <w:rsid w:val="00DA700A"/>
    <w:rsid w:val="00DB6288"/>
    <w:rsid w:val="00DB6706"/>
    <w:rsid w:val="00DB6BB9"/>
    <w:rsid w:val="00DB6F15"/>
    <w:rsid w:val="00DC2CA8"/>
    <w:rsid w:val="00DC3112"/>
    <w:rsid w:val="00DC6DDF"/>
    <w:rsid w:val="00DC7D42"/>
    <w:rsid w:val="00DD7585"/>
    <w:rsid w:val="00DF3913"/>
    <w:rsid w:val="00DF4698"/>
    <w:rsid w:val="00DF733A"/>
    <w:rsid w:val="00E0392D"/>
    <w:rsid w:val="00E04B59"/>
    <w:rsid w:val="00E0758F"/>
    <w:rsid w:val="00E160D7"/>
    <w:rsid w:val="00E2189B"/>
    <w:rsid w:val="00E25C89"/>
    <w:rsid w:val="00E4025E"/>
    <w:rsid w:val="00E4463E"/>
    <w:rsid w:val="00E46F77"/>
    <w:rsid w:val="00E4744C"/>
    <w:rsid w:val="00E513B5"/>
    <w:rsid w:val="00E55754"/>
    <w:rsid w:val="00E600AF"/>
    <w:rsid w:val="00E60F64"/>
    <w:rsid w:val="00E62AA8"/>
    <w:rsid w:val="00E73A35"/>
    <w:rsid w:val="00E87D00"/>
    <w:rsid w:val="00E9368D"/>
    <w:rsid w:val="00E94920"/>
    <w:rsid w:val="00EA2C9F"/>
    <w:rsid w:val="00EA3581"/>
    <w:rsid w:val="00EA5E1A"/>
    <w:rsid w:val="00EA6C39"/>
    <w:rsid w:val="00EB33D0"/>
    <w:rsid w:val="00EB3912"/>
    <w:rsid w:val="00EB6C0A"/>
    <w:rsid w:val="00EB6FDA"/>
    <w:rsid w:val="00EC2BBA"/>
    <w:rsid w:val="00EC67D8"/>
    <w:rsid w:val="00ED5D69"/>
    <w:rsid w:val="00ED6442"/>
    <w:rsid w:val="00ED7035"/>
    <w:rsid w:val="00ED737F"/>
    <w:rsid w:val="00EE0939"/>
    <w:rsid w:val="00EE4714"/>
    <w:rsid w:val="00F006F8"/>
    <w:rsid w:val="00F05F65"/>
    <w:rsid w:val="00F06932"/>
    <w:rsid w:val="00F12112"/>
    <w:rsid w:val="00F15A75"/>
    <w:rsid w:val="00F230F1"/>
    <w:rsid w:val="00F25AF3"/>
    <w:rsid w:val="00F27AA4"/>
    <w:rsid w:val="00F30A9E"/>
    <w:rsid w:val="00F37702"/>
    <w:rsid w:val="00F41C41"/>
    <w:rsid w:val="00F43006"/>
    <w:rsid w:val="00F47293"/>
    <w:rsid w:val="00F62A04"/>
    <w:rsid w:val="00F647A7"/>
    <w:rsid w:val="00F73A32"/>
    <w:rsid w:val="00F749C2"/>
    <w:rsid w:val="00F7565A"/>
    <w:rsid w:val="00F763EA"/>
    <w:rsid w:val="00F77E2E"/>
    <w:rsid w:val="00F90A4D"/>
    <w:rsid w:val="00F95EB8"/>
    <w:rsid w:val="00F97A5E"/>
    <w:rsid w:val="00FA0A1F"/>
    <w:rsid w:val="00FA0B29"/>
    <w:rsid w:val="00FA36FA"/>
    <w:rsid w:val="00FB4E76"/>
    <w:rsid w:val="00FB624E"/>
    <w:rsid w:val="00FB7014"/>
    <w:rsid w:val="00FC3F36"/>
    <w:rsid w:val="00FD5E21"/>
    <w:rsid w:val="00FD7DB9"/>
    <w:rsid w:val="00FE5EE3"/>
    <w:rsid w:val="00FE653F"/>
    <w:rsid w:val="00FE666E"/>
    <w:rsid w:val="00FF2D41"/>
    <w:rsid w:val="00FF3195"/>
    <w:rsid w:val="00FF36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o:shapelayout v:ext="edit">
      <o:idmap v:ext="edit" data="1"/>
    </o:shapelayout>
  </w:shapeDefaults>
  <w:decimalSymbol w:val=","/>
  <w:listSeparator w:val=";"/>
  <w15:chartTrackingRefBased/>
  <w15:docId w15:val="{DAE14E21-6B06-472E-906C-012EA8A6F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6" w:semiHidden="1"/>
    <w:lsdException w:name="toc 7" w:semiHidden="1"/>
    <w:lsdException w:name="toc 8" w:semiHidden="1"/>
    <w:lsdException w:name="toc 9" w:semiHidden="1"/>
    <w:lsdException w:name="footnote text" w:uiPriority="99"/>
    <w:lsdException w:name="annotation text" w:semiHidden="1"/>
    <w:lsdException w:name="caption" w:semiHidden="1" w:unhideWhenUsed="1" w:qFormat="1"/>
    <w:lsdException w:name="table of figures" w:semiHidden="1" w:unhideWhenUsed="1"/>
    <w:lsdException w:name="annotation reference" w:semiHidden="1"/>
    <w:lsdException w:name="endnote reference" w:semiHidden="1" w:unhideWhenUsed="1"/>
    <w:lsdException w:name="endnote text" w:semiHidden="1" w:unhideWhenUsed="1"/>
    <w:lsdException w:name="table of authorities" w:semiHidden="1"/>
    <w:lsdException w:name="macro" w:semiHidden="1"/>
    <w:lsdException w:name="List" w:semiHidden="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FollowedHyperlink" w:semiHidden="1"/>
    <w:lsdException w:name="Strong" w:semiHidden="1" w:qFormat="1"/>
    <w:lsdException w:name="Emphasis" w:semiHidden="1" w:unhideWhenUsed="1" w:qFormat="1"/>
    <w:lsdException w:name="E-mail Signature"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58C"/>
    <w:pPr>
      <w:tabs>
        <w:tab w:val="left" w:pos="284"/>
      </w:tabs>
      <w:spacing w:after="120" w:line="280" w:lineRule="atLeast"/>
    </w:pPr>
  </w:style>
  <w:style w:type="paragraph" w:styleId="Rubrik1">
    <w:name w:val="heading 1"/>
    <w:basedOn w:val="Normal"/>
    <w:next w:val="Normal"/>
    <w:qFormat/>
    <w:rsid w:val="00FB4E76"/>
    <w:pPr>
      <w:keepNext/>
      <w:spacing w:before="120" w:after="80"/>
      <w:outlineLvl w:val="0"/>
    </w:pPr>
    <w:rPr>
      <w:rFonts w:ascii="GillSans Pro for Riksdagen Md" w:hAnsi="GillSans Pro for Riksdagen Md"/>
      <w:b/>
      <w:kern w:val="28"/>
      <w:sz w:val="28"/>
    </w:rPr>
  </w:style>
  <w:style w:type="paragraph" w:styleId="Rubrik2">
    <w:name w:val="heading 2"/>
    <w:basedOn w:val="Rubrik1"/>
    <w:next w:val="Normal"/>
    <w:qFormat/>
    <w:rsid w:val="00BB1B5A"/>
    <w:pPr>
      <w:spacing w:before="60" w:after="60" w:line="260" w:lineRule="atLeast"/>
      <w:outlineLvl w:val="1"/>
    </w:pPr>
    <w:rPr>
      <w:i/>
      <w:sz w:val="25"/>
    </w:rPr>
  </w:style>
  <w:style w:type="paragraph" w:styleId="Rubrik3">
    <w:name w:val="heading 3"/>
    <w:basedOn w:val="Rubrik1"/>
    <w:next w:val="Normal"/>
    <w:qFormat/>
    <w:rsid w:val="00BB1B5A"/>
    <w:pPr>
      <w:spacing w:before="60" w:after="20" w:line="240" w:lineRule="atLeast"/>
      <w:outlineLvl w:val="2"/>
    </w:pPr>
    <w:rPr>
      <w:rFonts w:cs="Arial"/>
      <w:bCs/>
      <w:sz w:val="24"/>
      <w:szCs w:val="26"/>
    </w:rPr>
  </w:style>
  <w:style w:type="paragraph" w:styleId="Rubrik4">
    <w:name w:val="heading 4"/>
    <w:basedOn w:val="Rubrik1"/>
    <w:next w:val="Normal"/>
    <w:qFormat/>
    <w:rsid w:val="004A4562"/>
    <w:pPr>
      <w:spacing w:before="0" w:after="40" w:line="200" w:lineRule="atLeast"/>
      <w:outlineLvl w:val="3"/>
    </w:pPr>
    <w:rPr>
      <w:rFonts w:ascii="Times New Roman" w:hAnsi="Times New Roman"/>
      <w:bCs/>
      <w:sz w:val="22"/>
      <w:szCs w:val="28"/>
    </w:rPr>
  </w:style>
  <w:style w:type="paragraph" w:styleId="Rubrik5">
    <w:name w:val="heading 5"/>
    <w:basedOn w:val="Rubrik4"/>
    <w:next w:val="Normal"/>
    <w:qFormat/>
    <w:rsid w:val="00BB1B5A"/>
    <w:pPr>
      <w:outlineLvl w:val="4"/>
    </w:pPr>
    <w:rPr>
      <w:bCs w:val="0"/>
      <w:i/>
      <w:iCs/>
      <w:szCs w:val="26"/>
    </w:rPr>
  </w:style>
  <w:style w:type="paragraph" w:styleId="Rubrik6">
    <w:name w:val="heading 6"/>
    <w:basedOn w:val="Rubrik5"/>
    <w:next w:val="Normal"/>
    <w:qFormat/>
    <w:rsid w:val="00A86BEE"/>
    <w:pPr>
      <w:outlineLvl w:val="5"/>
    </w:pPr>
    <w:rPr>
      <w:b w:val="0"/>
      <w:bCs/>
      <w:szCs w:val="22"/>
    </w:rPr>
  </w:style>
  <w:style w:type="paragraph" w:styleId="Rubrik7">
    <w:name w:val="heading 7"/>
    <w:basedOn w:val="Rubrik6"/>
    <w:next w:val="Normal"/>
    <w:link w:val="Rubrik7Char"/>
    <w:semiHidden/>
    <w:unhideWhenUsed/>
    <w:qFormat/>
    <w:rsid w:val="00A86BEE"/>
    <w:pPr>
      <w:outlineLvl w:val="6"/>
    </w:pPr>
    <w:rPr>
      <w:rFonts w:eastAsiaTheme="majorEastAsia" w:cstheme="majorBidi"/>
      <w:iCs w:val="0"/>
    </w:rPr>
  </w:style>
  <w:style w:type="paragraph" w:styleId="Rubrik8">
    <w:name w:val="heading 8"/>
    <w:basedOn w:val="Rubrik6"/>
    <w:next w:val="Normal"/>
    <w:link w:val="Rubrik8Char"/>
    <w:semiHidden/>
    <w:unhideWhenUsed/>
    <w:qFormat/>
    <w:rsid w:val="00A86BEE"/>
    <w:pPr>
      <w:outlineLvl w:val="7"/>
    </w:pPr>
    <w:rPr>
      <w:rFonts w:eastAsiaTheme="majorEastAsia" w:cstheme="majorBidi"/>
      <w:szCs w:val="21"/>
    </w:rPr>
  </w:style>
  <w:style w:type="paragraph" w:styleId="Rubrik9">
    <w:name w:val="heading 9"/>
    <w:basedOn w:val="Rubrik6"/>
    <w:next w:val="Normal"/>
    <w:link w:val="Rubrik9Char"/>
    <w:semiHidden/>
    <w:unhideWhenUsed/>
    <w:qFormat/>
    <w:rsid w:val="00A86BEE"/>
    <w:pPr>
      <w:outlineLvl w:val="8"/>
    </w:pPr>
    <w:rPr>
      <w:rFonts w:eastAsiaTheme="majorEastAsia" w:cstheme="majorBidi"/>
      <w:iCs w:val="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spacing w:after="0"/>
    </w:pPr>
  </w:style>
  <w:style w:type="paragraph" w:styleId="Sidfot">
    <w:name w:val="footer"/>
    <w:basedOn w:val="Normal"/>
    <w:rsid w:val="00494C11"/>
    <w:pPr>
      <w:spacing w:line="220" w:lineRule="atLeast"/>
    </w:pPr>
    <w:rPr>
      <w:rFonts w:ascii="GillSans Pro for Riksdagen Lt" w:hAnsi="GillSans Pro for Riksdagen Lt"/>
      <w:sz w:val="18"/>
    </w:rPr>
  </w:style>
  <w:style w:type="paragraph" w:customStyle="1" w:styleId="logo">
    <w:name w:val="logo"/>
    <w:basedOn w:val="Normal"/>
    <w:semiHidden/>
    <w:pPr>
      <w:framePr w:wrap="around" w:vAnchor="page" w:hAnchor="page" w:x="7939" w:y="511" w:anchorLock="1"/>
      <w:spacing w:after="0" w:line="240" w:lineRule="auto"/>
    </w:pPr>
    <w:rPr>
      <w:sz w:val="20"/>
    </w:rPr>
  </w:style>
  <w:style w:type="character" w:styleId="Sidnummer">
    <w:name w:val="page number"/>
    <w:basedOn w:val="Standardstycketeckensnitt"/>
    <w:rsid w:val="004728AD"/>
    <w:rPr>
      <w:rFonts w:ascii="GillSans Pro for Riksdagen Lt" w:hAnsi="GillSans Pro for Riksdagen Lt"/>
      <w:sz w:val="18"/>
      <w:vertAlign w:val="baseline"/>
    </w:rPr>
  </w:style>
  <w:style w:type="paragraph" w:customStyle="1" w:styleId="logo2">
    <w:name w:val="logo2"/>
    <w:basedOn w:val="logo"/>
    <w:semiHidden/>
    <w:pPr>
      <w:framePr w:wrap="around" w:x="9016"/>
    </w:pPr>
  </w:style>
  <w:style w:type="paragraph" w:customStyle="1" w:styleId="NormalCourier">
    <w:name w:val="NormalCourier"/>
    <w:basedOn w:val="Normal"/>
    <w:semiHidden/>
    <w:rPr>
      <w:rFonts w:ascii="Courier" w:hAnsi="Courier"/>
    </w:rPr>
  </w:style>
  <w:style w:type="paragraph" w:customStyle="1" w:styleId="KantHuvud">
    <w:name w:val="KantHuvud"/>
    <w:basedOn w:val="Normal"/>
    <w:semiHidden/>
    <w:pPr>
      <w:framePr w:w="2552" w:hSpace="284" w:wrap="around" w:vAnchor="page" w:hAnchor="page" w:x="8279" w:y="2326" w:anchorLock="1"/>
      <w:spacing w:after="0"/>
    </w:pPr>
  </w:style>
  <w:style w:type="table" w:styleId="Tabellrutnt">
    <w:name w:val="Table Grid"/>
    <w:basedOn w:val="Normaltabell"/>
    <w:rsid w:val="00D21168"/>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idfotNamn">
    <w:name w:val="SidfotNamn"/>
    <w:next w:val="SidfotBrdtext"/>
    <w:semiHidden/>
    <w:rsid w:val="00C50615"/>
    <w:pPr>
      <w:tabs>
        <w:tab w:val="left" w:pos="4320"/>
      </w:tabs>
      <w:spacing w:after="50" w:line="220" w:lineRule="exact"/>
    </w:pPr>
    <w:rPr>
      <w:rFonts w:ascii="GillSans Pro for Riksdagen Md" w:hAnsi="GillSans Pro for Riksdagen Md"/>
      <w:sz w:val="19"/>
    </w:rPr>
  </w:style>
  <w:style w:type="paragraph" w:customStyle="1" w:styleId="SidfotBrdtext">
    <w:name w:val="SidfotBrödtext"/>
    <w:basedOn w:val="SidfotNamn"/>
    <w:unhideWhenUsed/>
    <w:rsid w:val="00C50615"/>
    <w:pPr>
      <w:spacing w:after="0"/>
    </w:pPr>
    <w:rPr>
      <w:rFonts w:ascii="GillSans Pro for Riksdagen Lt" w:hAnsi="GillSans Pro for Riksdagen Lt"/>
      <w:sz w:val="18"/>
    </w:rPr>
  </w:style>
  <w:style w:type="paragraph" w:styleId="Oformateradtext">
    <w:name w:val="Plain Text"/>
    <w:basedOn w:val="Normal"/>
    <w:rsid w:val="007A447C"/>
    <w:rPr>
      <w:rFonts w:cs="Courier New"/>
      <w:szCs w:val="20"/>
    </w:rPr>
  </w:style>
  <w:style w:type="paragraph" w:customStyle="1" w:styleId="PMrubrik">
    <w:name w:val="PMrubrik"/>
    <w:next w:val="Normal"/>
    <w:rsid w:val="00EB33D0"/>
    <w:pPr>
      <w:spacing w:line="280" w:lineRule="atLeast"/>
    </w:pPr>
    <w:rPr>
      <w:rFonts w:ascii="GillSans Pro for Riksdagen Md" w:hAnsi="GillSans Pro for Riksdagen Md"/>
      <w:b/>
      <w:sz w:val="36"/>
      <w:szCs w:val="36"/>
    </w:rPr>
  </w:style>
  <w:style w:type="paragraph" w:customStyle="1" w:styleId="NormalKompakt">
    <w:name w:val="NormalKompakt"/>
    <w:basedOn w:val="Normal"/>
    <w:rsid w:val="00CF25D1"/>
    <w:pPr>
      <w:spacing w:after="0" w:line="240" w:lineRule="auto"/>
    </w:pPr>
    <w:rPr>
      <w:lang w:val="en-GB"/>
    </w:rPr>
  </w:style>
  <w:style w:type="paragraph" w:customStyle="1" w:styleId="Titelrubrik">
    <w:name w:val="Titelrubrik"/>
    <w:basedOn w:val="Rubrik1"/>
    <w:rsid w:val="004A0FAA"/>
    <w:rPr>
      <w:sz w:val="36"/>
    </w:rPr>
  </w:style>
  <w:style w:type="paragraph" w:styleId="Innehll1">
    <w:name w:val="toc 1"/>
    <w:basedOn w:val="NormalKompakt"/>
    <w:next w:val="Normal"/>
    <w:autoRedefine/>
    <w:semiHidden/>
    <w:rsid w:val="00E4463E"/>
    <w:pPr>
      <w:tabs>
        <w:tab w:val="clear" w:pos="284"/>
      </w:tabs>
    </w:pPr>
  </w:style>
  <w:style w:type="paragraph" w:styleId="Innehll2">
    <w:name w:val="toc 2"/>
    <w:basedOn w:val="NormalKompakt"/>
    <w:next w:val="Normal"/>
    <w:autoRedefine/>
    <w:semiHidden/>
    <w:rsid w:val="00E4463E"/>
    <w:pPr>
      <w:tabs>
        <w:tab w:val="clear" w:pos="284"/>
      </w:tabs>
      <w:ind w:left="220"/>
    </w:pPr>
  </w:style>
  <w:style w:type="character" w:styleId="Hyperlnk">
    <w:name w:val="Hyperlink"/>
    <w:basedOn w:val="Standardstycketeckensnitt"/>
    <w:unhideWhenUsed/>
    <w:rsid w:val="00E4463E"/>
    <w:rPr>
      <w:color w:val="0000FF"/>
      <w:u w:val="single"/>
    </w:rPr>
  </w:style>
  <w:style w:type="paragraph" w:customStyle="1" w:styleId="FormatmallPMrubrik14pt">
    <w:name w:val="Formatmall PMrubrik + 14 pt"/>
    <w:basedOn w:val="PMrubrik"/>
    <w:unhideWhenUsed/>
    <w:rsid w:val="00BC3D77"/>
    <w:pPr>
      <w:spacing w:after="120"/>
    </w:pPr>
    <w:rPr>
      <w:bCs/>
      <w:sz w:val="28"/>
    </w:rPr>
  </w:style>
  <w:style w:type="paragraph" w:customStyle="1" w:styleId="Punktlistautanluft">
    <w:name w:val="Punktlista utan luft"/>
    <w:basedOn w:val="Normal"/>
    <w:rsid w:val="00E9368D"/>
    <w:pPr>
      <w:numPr>
        <w:numId w:val="15"/>
      </w:numPr>
      <w:spacing w:after="0"/>
      <w:ind w:left="266" w:hanging="266"/>
    </w:pPr>
  </w:style>
  <w:style w:type="paragraph" w:styleId="Punktlista">
    <w:name w:val="List Bullet"/>
    <w:basedOn w:val="Normal"/>
    <w:rsid w:val="00D97E4C"/>
    <w:pPr>
      <w:numPr>
        <w:numId w:val="16"/>
      </w:numPr>
      <w:spacing w:after="0"/>
    </w:pPr>
  </w:style>
  <w:style w:type="paragraph" w:styleId="Punktlista2">
    <w:name w:val="List Bullet 2"/>
    <w:basedOn w:val="Punktlistautanluft"/>
    <w:semiHidden/>
    <w:rsid w:val="00E9368D"/>
    <w:pPr>
      <w:numPr>
        <w:ilvl w:val="1"/>
      </w:numPr>
    </w:pPr>
  </w:style>
  <w:style w:type="paragraph" w:styleId="Punktlista3">
    <w:name w:val="List Bullet 3"/>
    <w:basedOn w:val="Punktlista2"/>
    <w:semiHidden/>
    <w:rsid w:val="00E9368D"/>
    <w:pPr>
      <w:numPr>
        <w:ilvl w:val="2"/>
      </w:numPr>
    </w:pPr>
  </w:style>
  <w:style w:type="paragraph" w:styleId="Punktlista4">
    <w:name w:val="List Bullet 4"/>
    <w:basedOn w:val="Punktlista3"/>
    <w:semiHidden/>
    <w:rsid w:val="00E9368D"/>
    <w:pPr>
      <w:numPr>
        <w:ilvl w:val="3"/>
      </w:numPr>
    </w:pPr>
  </w:style>
  <w:style w:type="paragraph" w:styleId="Fotnotstext">
    <w:name w:val="footnote text"/>
    <w:basedOn w:val="Normal"/>
    <w:link w:val="FotnotstextChar"/>
    <w:uiPriority w:val="99"/>
    <w:rsid w:val="002451C3"/>
    <w:pPr>
      <w:spacing w:after="40" w:line="200" w:lineRule="atLeast"/>
      <w:ind w:left="113" w:hanging="113"/>
    </w:pPr>
    <w:rPr>
      <w:sz w:val="18"/>
      <w:szCs w:val="20"/>
    </w:rPr>
  </w:style>
  <w:style w:type="character" w:styleId="Fotnotsreferens">
    <w:name w:val="footnote reference"/>
    <w:basedOn w:val="Standardstycketeckensnitt"/>
    <w:semiHidden/>
    <w:rsid w:val="00C45B5C"/>
    <w:rPr>
      <w:vertAlign w:val="superscript"/>
    </w:rPr>
  </w:style>
  <w:style w:type="paragraph" w:customStyle="1" w:styleId="SidfotEnhet">
    <w:name w:val="SidfotEnhet"/>
    <w:basedOn w:val="SidfotNamn"/>
    <w:next w:val="SidfotBrdtext"/>
    <w:semiHidden/>
    <w:rsid w:val="004633A8"/>
    <w:rPr>
      <w:sz w:val="20"/>
    </w:rPr>
  </w:style>
  <w:style w:type="paragraph" w:styleId="Innehll3">
    <w:name w:val="toc 3"/>
    <w:basedOn w:val="NormalKompakt"/>
    <w:next w:val="Normal"/>
    <w:autoRedefine/>
    <w:semiHidden/>
    <w:rsid w:val="005E5FD3"/>
    <w:pPr>
      <w:tabs>
        <w:tab w:val="clear" w:pos="284"/>
      </w:tabs>
      <w:ind w:left="440"/>
    </w:pPr>
  </w:style>
  <w:style w:type="paragraph" w:styleId="Innehll4">
    <w:name w:val="toc 4"/>
    <w:basedOn w:val="NormalKompakt"/>
    <w:next w:val="Normal"/>
    <w:autoRedefine/>
    <w:semiHidden/>
    <w:rsid w:val="005E5FD3"/>
    <w:pPr>
      <w:tabs>
        <w:tab w:val="clear" w:pos="284"/>
      </w:tabs>
      <w:ind w:left="660"/>
    </w:pPr>
  </w:style>
  <w:style w:type="paragraph" w:styleId="Innehll5">
    <w:name w:val="toc 5"/>
    <w:basedOn w:val="NormalKompakt"/>
    <w:next w:val="Normal"/>
    <w:autoRedefine/>
    <w:semiHidden/>
    <w:rsid w:val="005E5FD3"/>
    <w:pPr>
      <w:tabs>
        <w:tab w:val="clear" w:pos="284"/>
      </w:tabs>
      <w:ind w:left="880"/>
    </w:pPr>
  </w:style>
  <w:style w:type="paragraph" w:styleId="Adress-brev">
    <w:name w:val="envelope address"/>
    <w:basedOn w:val="Normal"/>
    <w:semiHidden/>
    <w:rsid w:val="007A447C"/>
    <w:pPr>
      <w:framePr w:w="7920" w:h="1980" w:hRule="exact" w:hSpace="180" w:wrap="auto" w:hAnchor="page" w:xAlign="center" w:yAlign="bottom"/>
      <w:spacing w:after="0" w:line="240" w:lineRule="auto"/>
      <w:ind w:left="2880"/>
    </w:pPr>
    <w:rPr>
      <w:rFonts w:ascii="GillSans Pro for Riksdagen Lt" w:eastAsiaTheme="majorEastAsia" w:hAnsi="GillSans Pro for Riksdagen Lt" w:cstheme="majorBidi"/>
      <w:szCs w:val="24"/>
    </w:rPr>
  </w:style>
  <w:style w:type="paragraph" w:styleId="Avsndaradress-brev">
    <w:name w:val="envelope return"/>
    <w:basedOn w:val="Normal"/>
    <w:semiHidden/>
    <w:rsid w:val="007A447C"/>
    <w:pPr>
      <w:spacing w:after="0" w:line="240" w:lineRule="auto"/>
    </w:pPr>
    <w:rPr>
      <w:rFonts w:ascii="GillSans Pro for Riksdagen Lt" w:eastAsiaTheme="majorEastAsia" w:hAnsi="GillSans Pro for Riksdagen Lt" w:cstheme="majorBidi"/>
      <w:szCs w:val="20"/>
    </w:rPr>
  </w:style>
  <w:style w:type="paragraph" w:styleId="Ballongtext">
    <w:name w:val="Balloon Text"/>
    <w:basedOn w:val="Normal"/>
    <w:link w:val="BallongtextChar"/>
    <w:semiHidden/>
    <w:rsid w:val="007A447C"/>
    <w:pPr>
      <w:spacing w:after="0" w:line="240" w:lineRule="auto"/>
    </w:pPr>
    <w:rPr>
      <w:rFonts w:cs="Segoe UI"/>
      <w:sz w:val="18"/>
      <w:szCs w:val="18"/>
    </w:rPr>
  </w:style>
  <w:style w:type="character" w:customStyle="1" w:styleId="BallongtextChar">
    <w:name w:val="Ballongtext Char"/>
    <w:basedOn w:val="Standardstycketeckensnitt"/>
    <w:link w:val="Ballongtext"/>
    <w:semiHidden/>
    <w:rsid w:val="00C40FE3"/>
    <w:rPr>
      <w:rFonts w:cs="Segoe UI"/>
      <w:sz w:val="18"/>
      <w:szCs w:val="18"/>
    </w:rPr>
  </w:style>
  <w:style w:type="paragraph" w:styleId="Beskrivning">
    <w:name w:val="caption"/>
    <w:basedOn w:val="Normal"/>
    <w:next w:val="Normal"/>
    <w:unhideWhenUsed/>
    <w:qFormat/>
    <w:rsid w:val="007A447C"/>
    <w:pPr>
      <w:spacing w:after="200" w:line="240" w:lineRule="auto"/>
    </w:pPr>
    <w:rPr>
      <w:i/>
      <w:iCs/>
      <w:sz w:val="18"/>
      <w:szCs w:val="18"/>
    </w:rPr>
  </w:style>
  <w:style w:type="paragraph" w:styleId="Citatfrteckningsrubrik">
    <w:name w:val="toa heading"/>
    <w:basedOn w:val="Rubrik3"/>
    <w:next w:val="Normal"/>
    <w:semiHidden/>
    <w:rsid w:val="007A447C"/>
    <w:rPr>
      <w:rFonts w:eastAsiaTheme="majorEastAsia" w:cstheme="majorBidi"/>
      <w:bCs w:val="0"/>
      <w:szCs w:val="24"/>
    </w:rPr>
  </w:style>
  <w:style w:type="paragraph" w:styleId="Dokumentversikt">
    <w:name w:val="Document Map"/>
    <w:basedOn w:val="Normal"/>
    <w:link w:val="DokumentversiktChar"/>
    <w:unhideWhenUsed/>
    <w:rsid w:val="007A447C"/>
    <w:pPr>
      <w:spacing w:after="0" w:line="240" w:lineRule="auto"/>
    </w:pPr>
    <w:rPr>
      <w:rFonts w:cs="Segoe UI"/>
      <w:sz w:val="16"/>
      <w:szCs w:val="16"/>
    </w:rPr>
  </w:style>
  <w:style w:type="character" w:customStyle="1" w:styleId="DokumentversiktChar">
    <w:name w:val="Dokumentöversikt Char"/>
    <w:basedOn w:val="Standardstycketeckensnitt"/>
    <w:link w:val="Dokumentversikt"/>
    <w:rsid w:val="00C40FE3"/>
    <w:rPr>
      <w:rFonts w:cs="Segoe UI"/>
      <w:sz w:val="16"/>
      <w:szCs w:val="16"/>
    </w:rPr>
  </w:style>
  <w:style w:type="paragraph" w:styleId="Index1">
    <w:name w:val="index 1"/>
    <w:basedOn w:val="Normal"/>
    <w:next w:val="Normal"/>
    <w:autoRedefine/>
    <w:unhideWhenUsed/>
    <w:rsid w:val="007A447C"/>
    <w:pPr>
      <w:tabs>
        <w:tab w:val="clear" w:pos="284"/>
      </w:tabs>
      <w:spacing w:after="0" w:line="240" w:lineRule="auto"/>
      <w:ind w:left="220" w:hanging="220"/>
    </w:pPr>
  </w:style>
  <w:style w:type="paragraph" w:styleId="Indexrubrik">
    <w:name w:val="index heading"/>
    <w:basedOn w:val="Rubrik3"/>
    <w:next w:val="Index1"/>
    <w:unhideWhenUsed/>
    <w:rsid w:val="007A447C"/>
    <w:rPr>
      <w:rFonts w:eastAsiaTheme="majorEastAsia" w:cstheme="majorBidi"/>
      <w:bCs w:val="0"/>
    </w:rPr>
  </w:style>
  <w:style w:type="paragraph" w:styleId="Indragetstycke">
    <w:name w:val="Block Text"/>
    <w:basedOn w:val="Normal"/>
    <w:rsid w:val="007A447C"/>
    <w:pPr>
      <w:ind w:left="1152" w:right="1152"/>
    </w:pPr>
    <w:rPr>
      <w:rFonts w:eastAsiaTheme="minorEastAsia" w:cstheme="minorBidi"/>
      <w:i/>
      <w:iCs/>
    </w:rPr>
  </w:style>
  <w:style w:type="paragraph" w:styleId="Meddelanderubrik">
    <w:name w:val="Message Header"/>
    <w:basedOn w:val="Rubrik3"/>
    <w:link w:val="MeddelanderubrikChar"/>
    <w:semiHidden/>
    <w:rsid w:val="007A447C"/>
    <w:pPr>
      <w:spacing w:line="240" w:lineRule="auto"/>
      <w:ind w:left="1134" w:hanging="1134"/>
    </w:pPr>
    <w:rPr>
      <w:rFonts w:eastAsiaTheme="majorEastAsia" w:cstheme="majorBidi"/>
      <w:szCs w:val="24"/>
    </w:rPr>
  </w:style>
  <w:style w:type="character" w:customStyle="1" w:styleId="MeddelanderubrikChar">
    <w:name w:val="Meddelanderubrik Char"/>
    <w:basedOn w:val="Standardstycketeckensnitt"/>
    <w:link w:val="Meddelanderubrik"/>
    <w:semiHidden/>
    <w:rsid w:val="0069358C"/>
    <w:rPr>
      <w:rFonts w:ascii="GillSans Pro for Riksdagen Md" w:eastAsiaTheme="majorEastAsia" w:hAnsi="GillSans Pro for Riksdagen Md" w:cstheme="majorBidi"/>
      <w:b/>
      <w:bCs/>
      <w:kern w:val="28"/>
      <w:sz w:val="24"/>
      <w:szCs w:val="24"/>
    </w:rPr>
  </w:style>
  <w:style w:type="paragraph" w:styleId="Rubrik">
    <w:name w:val="Title"/>
    <w:basedOn w:val="Normal"/>
    <w:next w:val="Normal"/>
    <w:link w:val="RubrikChar"/>
    <w:qFormat/>
    <w:rsid w:val="007A447C"/>
    <w:pPr>
      <w:spacing w:after="0" w:line="240" w:lineRule="auto"/>
      <w:contextualSpacing/>
    </w:pPr>
    <w:rPr>
      <w:rFonts w:ascii="GillSans Pro for Riksdagen Md" w:eastAsiaTheme="majorEastAsia" w:hAnsi="GillSans Pro for Riksdagen Md" w:cstheme="majorBidi"/>
      <w:b/>
      <w:spacing w:val="-10"/>
      <w:kern w:val="28"/>
      <w:sz w:val="56"/>
      <w:szCs w:val="56"/>
    </w:rPr>
  </w:style>
  <w:style w:type="character" w:customStyle="1" w:styleId="RubrikChar">
    <w:name w:val="Rubrik Char"/>
    <w:basedOn w:val="Standardstycketeckensnitt"/>
    <w:link w:val="Rubrik"/>
    <w:rsid w:val="007A447C"/>
    <w:rPr>
      <w:rFonts w:ascii="GillSans Pro for Riksdagen Md" w:eastAsiaTheme="majorEastAsia" w:hAnsi="GillSans Pro for Riksdagen Md" w:cstheme="majorBidi"/>
      <w:b/>
      <w:spacing w:val="-10"/>
      <w:kern w:val="28"/>
      <w:sz w:val="56"/>
      <w:szCs w:val="56"/>
    </w:rPr>
  </w:style>
  <w:style w:type="character" w:customStyle="1" w:styleId="Rubrik7Char">
    <w:name w:val="Rubrik 7 Char"/>
    <w:basedOn w:val="Standardstycketeckensnitt"/>
    <w:link w:val="Rubrik7"/>
    <w:semiHidden/>
    <w:rsid w:val="00A86BEE"/>
    <w:rPr>
      <w:rFonts w:eastAsiaTheme="majorEastAsia" w:cstheme="majorBidi"/>
      <w:bCs/>
      <w:i/>
      <w:kern w:val="28"/>
      <w:sz w:val="22"/>
      <w:szCs w:val="22"/>
    </w:rPr>
  </w:style>
  <w:style w:type="character" w:customStyle="1" w:styleId="Rubrik8Char">
    <w:name w:val="Rubrik 8 Char"/>
    <w:basedOn w:val="Standardstycketeckensnitt"/>
    <w:link w:val="Rubrik8"/>
    <w:semiHidden/>
    <w:rsid w:val="00A86BEE"/>
    <w:rPr>
      <w:rFonts w:eastAsiaTheme="majorEastAsia" w:cstheme="majorBidi"/>
      <w:bCs/>
      <w:i/>
      <w:iCs/>
      <w:kern w:val="28"/>
      <w:sz w:val="22"/>
      <w:szCs w:val="21"/>
    </w:rPr>
  </w:style>
  <w:style w:type="character" w:customStyle="1" w:styleId="Rubrik9Char">
    <w:name w:val="Rubrik 9 Char"/>
    <w:basedOn w:val="Standardstycketeckensnitt"/>
    <w:link w:val="Rubrik9"/>
    <w:semiHidden/>
    <w:rsid w:val="00A86BEE"/>
    <w:rPr>
      <w:rFonts w:eastAsiaTheme="majorEastAsia" w:cstheme="majorBidi"/>
      <w:bCs/>
      <w:i/>
      <w:kern w:val="28"/>
      <w:sz w:val="22"/>
      <w:szCs w:val="21"/>
    </w:rPr>
  </w:style>
  <w:style w:type="paragraph" w:styleId="Underrubrik">
    <w:name w:val="Subtitle"/>
    <w:basedOn w:val="Rubrik3"/>
    <w:next w:val="Normal"/>
    <w:link w:val="UnderrubrikChar"/>
    <w:qFormat/>
    <w:rsid w:val="00A86BEE"/>
    <w:pPr>
      <w:numPr>
        <w:ilvl w:val="1"/>
      </w:numPr>
    </w:pPr>
    <w:rPr>
      <w:rFonts w:eastAsiaTheme="minorEastAsia" w:cstheme="minorBidi"/>
      <w:szCs w:val="22"/>
    </w:rPr>
  </w:style>
  <w:style w:type="character" w:customStyle="1" w:styleId="UnderrubrikChar">
    <w:name w:val="Underrubrik Char"/>
    <w:basedOn w:val="Standardstycketeckensnitt"/>
    <w:link w:val="Underrubrik"/>
    <w:rsid w:val="00A86BEE"/>
    <w:rPr>
      <w:rFonts w:ascii="GillSans Pro for Riksdagen Md" w:eastAsiaTheme="minorEastAsia" w:hAnsi="GillSans Pro for Riksdagen Md" w:cstheme="minorBidi"/>
      <w:b/>
      <w:bCs/>
      <w:kern w:val="28"/>
      <w:sz w:val="24"/>
      <w:szCs w:val="22"/>
    </w:rPr>
  </w:style>
  <w:style w:type="character" w:styleId="Diskretbetoning">
    <w:name w:val="Subtle Emphasis"/>
    <w:basedOn w:val="Standardstycketeckensnitt"/>
    <w:uiPriority w:val="19"/>
    <w:qFormat/>
    <w:rsid w:val="00A86BEE"/>
    <w:rPr>
      <w:i/>
      <w:iCs/>
      <w:color w:val="auto"/>
    </w:rPr>
  </w:style>
  <w:style w:type="character" w:styleId="Starkbetoning">
    <w:name w:val="Intense Emphasis"/>
    <w:basedOn w:val="Standardstycketeckensnitt"/>
    <w:uiPriority w:val="21"/>
    <w:semiHidden/>
    <w:qFormat/>
    <w:rsid w:val="00A86BEE"/>
    <w:rPr>
      <w:i/>
      <w:iCs/>
      <w:color w:val="auto"/>
    </w:rPr>
  </w:style>
  <w:style w:type="paragraph" w:styleId="Starktcitat">
    <w:name w:val="Intense Quote"/>
    <w:basedOn w:val="Normal"/>
    <w:next w:val="Normal"/>
    <w:link w:val="StarktcitatChar"/>
    <w:uiPriority w:val="30"/>
    <w:semiHidden/>
    <w:qFormat/>
    <w:rsid w:val="00A86BEE"/>
    <w:pPr>
      <w:spacing w:before="360" w:after="360"/>
      <w:ind w:left="864" w:right="864"/>
      <w:jc w:val="center"/>
    </w:pPr>
    <w:rPr>
      <w:i/>
      <w:iCs/>
    </w:rPr>
  </w:style>
  <w:style w:type="character" w:customStyle="1" w:styleId="StarktcitatChar">
    <w:name w:val="Starkt citat Char"/>
    <w:basedOn w:val="Standardstycketeckensnitt"/>
    <w:link w:val="Starktcitat"/>
    <w:uiPriority w:val="30"/>
    <w:semiHidden/>
    <w:rsid w:val="0069358C"/>
    <w:rPr>
      <w:i/>
      <w:iCs/>
    </w:rPr>
  </w:style>
  <w:style w:type="character" w:styleId="Diskretreferens">
    <w:name w:val="Subtle Reference"/>
    <w:basedOn w:val="Standardstycketeckensnitt"/>
    <w:uiPriority w:val="31"/>
    <w:semiHidden/>
    <w:qFormat/>
    <w:rsid w:val="00A86BEE"/>
    <w:rPr>
      <w:smallCaps/>
      <w:color w:val="auto"/>
    </w:rPr>
  </w:style>
  <w:style w:type="character" w:styleId="Starkreferens">
    <w:name w:val="Intense Reference"/>
    <w:basedOn w:val="Standardstycketeckensnitt"/>
    <w:uiPriority w:val="32"/>
    <w:semiHidden/>
    <w:qFormat/>
    <w:rsid w:val="00A86BEE"/>
    <w:rPr>
      <w:b/>
      <w:bCs/>
      <w:smallCaps/>
      <w:color w:val="auto"/>
      <w:spacing w:val="5"/>
    </w:rPr>
  </w:style>
  <w:style w:type="paragraph" w:styleId="Innehllsfrteckningsrubrik">
    <w:name w:val="TOC Heading"/>
    <w:basedOn w:val="Rubrik1"/>
    <w:next w:val="Normal"/>
    <w:uiPriority w:val="39"/>
    <w:semiHidden/>
    <w:unhideWhenUsed/>
    <w:qFormat/>
    <w:rsid w:val="00A86BEE"/>
    <w:pPr>
      <w:outlineLvl w:val="9"/>
    </w:pPr>
    <w:rPr>
      <w:rFonts w:eastAsiaTheme="majorEastAsia" w:cstheme="majorBidi"/>
      <w:kern w:val="0"/>
      <w:szCs w:val="32"/>
    </w:rPr>
  </w:style>
  <w:style w:type="paragraph" w:customStyle="1" w:styleId="DecimalAligned">
    <w:name w:val="Decimal Aligned"/>
    <w:basedOn w:val="Normal"/>
    <w:uiPriority w:val="40"/>
    <w:qFormat/>
    <w:rsid w:val="00F73A32"/>
    <w:pPr>
      <w:tabs>
        <w:tab w:val="clear" w:pos="284"/>
        <w:tab w:val="decimal" w:pos="360"/>
      </w:tabs>
      <w:spacing w:after="200" w:line="276" w:lineRule="auto"/>
    </w:pPr>
    <w:rPr>
      <w:rFonts w:asciiTheme="minorHAnsi" w:eastAsiaTheme="minorEastAsia" w:hAnsiTheme="minorHAnsi"/>
    </w:rPr>
  </w:style>
  <w:style w:type="character" w:customStyle="1" w:styleId="FotnotstextChar">
    <w:name w:val="Fotnotstext Char"/>
    <w:basedOn w:val="Standardstycketeckensnitt"/>
    <w:link w:val="Fotnotstext"/>
    <w:uiPriority w:val="99"/>
    <w:rsid w:val="00F73A32"/>
    <w:rPr>
      <w:sz w:val="18"/>
      <w:szCs w:val="20"/>
    </w:rPr>
  </w:style>
  <w:style w:type="table" w:styleId="Ljusskuggning-dekorfrg1">
    <w:name w:val="Light Shading Accent 1"/>
    <w:basedOn w:val="Normaltabell"/>
    <w:uiPriority w:val="60"/>
    <w:rsid w:val="00F73A32"/>
    <w:rPr>
      <w:rFonts w:asciiTheme="minorHAnsi" w:eastAsiaTheme="minorEastAsia" w:hAnsiTheme="minorHAnsi" w:cstheme="minorBidi"/>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Liststycke">
    <w:name w:val="List Paragraph"/>
    <w:basedOn w:val="Normal"/>
    <w:uiPriority w:val="34"/>
    <w:semiHidden/>
    <w:qFormat/>
    <w:rsid w:val="00742ECC"/>
    <w:pPr>
      <w:ind w:left="720"/>
      <w:contextualSpacing/>
    </w:pPr>
  </w:style>
  <w:style w:type="character" w:styleId="AnvndHyperlnk">
    <w:name w:val="FollowedHyperlink"/>
    <w:basedOn w:val="Standardstycketeckensnitt"/>
    <w:semiHidden/>
    <w:rsid w:val="00FC3F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4883">
      <w:bodyDiv w:val="1"/>
      <w:marLeft w:val="0"/>
      <w:marRight w:val="0"/>
      <w:marTop w:val="0"/>
      <w:marBottom w:val="0"/>
      <w:divBdr>
        <w:top w:val="none" w:sz="0" w:space="0" w:color="auto"/>
        <w:left w:val="none" w:sz="0" w:space="0" w:color="auto"/>
        <w:bottom w:val="none" w:sz="0" w:space="0" w:color="auto"/>
        <w:right w:val="none" w:sz="0" w:space="0" w:color="auto"/>
      </w:divBdr>
    </w:div>
    <w:div w:id="687566419">
      <w:bodyDiv w:val="1"/>
      <w:marLeft w:val="0"/>
      <w:marRight w:val="0"/>
      <w:marTop w:val="0"/>
      <w:marBottom w:val="0"/>
      <w:divBdr>
        <w:top w:val="none" w:sz="0" w:space="0" w:color="auto"/>
        <w:left w:val="none" w:sz="0" w:space="0" w:color="auto"/>
        <w:bottom w:val="none" w:sz="0" w:space="0" w:color="auto"/>
        <w:right w:val="none" w:sz="0" w:space="0" w:color="auto"/>
      </w:divBdr>
      <w:divsChild>
        <w:div w:id="697121013">
          <w:marLeft w:val="0"/>
          <w:marRight w:val="0"/>
          <w:marTop w:val="0"/>
          <w:marBottom w:val="0"/>
          <w:divBdr>
            <w:top w:val="none" w:sz="0" w:space="0" w:color="auto"/>
            <w:left w:val="none" w:sz="0" w:space="0" w:color="auto"/>
            <w:bottom w:val="none" w:sz="0" w:space="0" w:color="auto"/>
            <w:right w:val="none" w:sz="0" w:space="0" w:color="auto"/>
          </w:divBdr>
          <w:divsChild>
            <w:div w:id="1354183881">
              <w:marLeft w:val="0"/>
              <w:marRight w:val="0"/>
              <w:marTop w:val="0"/>
              <w:marBottom w:val="0"/>
              <w:divBdr>
                <w:top w:val="none" w:sz="0" w:space="0" w:color="auto"/>
                <w:left w:val="none" w:sz="0" w:space="0" w:color="auto"/>
                <w:bottom w:val="none" w:sz="0" w:space="0" w:color="auto"/>
                <w:right w:val="none" w:sz="0" w:space="0" w:color="auto"/>
              </w:divBdr>
              <w:divsChild>
                <w:div w:id="1014503267">
                  <w:marLeft w:val="0"/>
                  <w:marRight w:val="0"/>
                  <w:marTop w:val="1200"/>
                  <w:marBottom w:val="0"/>
                  <w:divBdr>
                    <w:top w:val="none" w:sz="0" w:space="0" w:color="auto"/>
                    <w:left w:val="none" w:sz="0" w:space="0" w:color="auto"/>
                    <w:bottom w:val="none" w:sz="0" w:space="0" w:color="auto"/>
                    <w:right w:val="none" w:sz="0" w:space="0" w:color="auto"/>
                  </w:divBdr>
                  <w:divsChild>
                    <w:div w:id="701130520">
                      <w:marLeft w:val="0"/>
                      <w:marRight w:val="0"/>
                      <w:marTop w:val="0"/>
                      <w:marBottom w:val="0"/>
                      <w:divBdr>
                        <w:top w:val="none" w:sz="0" w:space="0" w:color="auto"/>
                        <w:left w:val="none" w:sz="0" w:space="0" w:color="auto"/>
                        <w:bottom w:val="none" w:sz="0" w:space="0" w:color="auto"/>
                        <w:right w:val="none" w:sz="0" w:space="0" w:color="auto"/>
                      </w:divBdr>
                      <w:divsChild>
                        <w:div w:id="1098867209">
                          <w:marLeft w:val="0"/>
                          <w:marRight w:val="0"/>
                          <w:marTop w:val="0"/>
                          <w:marBottom w:val="0"/>
                          <w:divBdr>
                            <w:top w:val="none" w:sz="0" w:space="0" w:color="auto"/>
                            <w:left w:val="none" w:sz="0" w:space="0" w:color="auto"/>
                            <w:bottom w:val="none" w:sz="0" w:space="0" w:color="auto"/>
                            <w:right w:val="none" w:sz="0" w:space="0" w:color="auto"/>
                          </w:divBdr>
                          <w:divsChild>
                            <w:div w:id="861825206">
                              <w:marLeft w:val="0"/>
                              <w:marRight w:val="0"/>
                              <w:marTop w:val="0"/>
                              <w:marBottom w:val="0"/>
                              <w:divBdr>
                                <w:top w:val="none" w:sz="0" w:space="0" w:color="auto"/>
                                <w:left w:val="none" w:sz="0" w:space="0" w:color="auto"/>
                                <w:bottom w:val="none" w:sz="0" w:space="0" w:color="auto"/>
                                <w:right w:val="none" w:sz="0" w:space="0" w:color="auto"/>
                              </w:divBdr>
                              <w:divsChild>
                                <w:div w:id="1622179490">
                                  <w:marLeft w:val="0"/>
                                  <w:marRight w:val="0"/>
                                  <w:marTop w:val="0"/>
                                  <w:marBottom w:val="0"/>
                                  <w:divBdr>
                                    <w:top w:val="none" w:sz="0" w:space="0" w:color="auto"/>
                                    <w:left w:val="none" w:sz="0" w:space="0" w:color="auto"/>
                                    <w:bottom w:val="none" w:sz="0" w:space="0" w:color="auto"/>
                                    <w:right w:val="none" w:sz="0" w:space="0" w:color="auto"/>
                                  </w:divBdr>
                                  <w:divsChild>
                                    <w:div w:id="2109881437">
                                      <w:marLeft w:val="0"/>
                                      <w:marRight w:val="0"/>
                                      <w:marTop w:val="0"/>
                                      <w:marBottom w:val="0"/>
                                      <w:divBdr>
                                        <w:top w:val="none" w:sz="0" w:space="0" w:color="auto"/>
                                        <w:left w:val="none" w:sz="0" w:space="0" w:color="auto"/>
                                        <w:bottom w:val="none" w:sz="0" w:space="0" w:color="auto"/>
                                        <w:right w:val="none" w:sz="0" w:space="0" w:color="auto"/>
                                      </w:divBdr>
                                      <w:divsChild>
                                        <w:div w:id="338849002">
                                          <w:marLeft w:val="0"/>
                                          <w:marRight w:val="0"/>
                                          <w:marTop w:val="0"/>
                                          <w:marBottom w:val="0"/>
                                          <w:divBdr>
                                            <w:top w:val="none" w:sz="0" w:space="0" w:color="auto"/>
                                            <w:left w:val="none" w:sz="0" w:space="0" w:color="auto"/>
                                            <w:bottom w:val="none" w:sz="0" w:space="0" w:color="auto"/>
                                            <w:right w:val="none" w:sz="0" w:space="0" w:color="auto"/>
                                          </w:divBdr>
                                          <w:divsChild>
                                            <w:div w:id="683827938">
                                              <w:marLeft w:val="0"/>
                                              <w:marRight w:val="312"/>
                                              <w:marTop w:val="0"/>
                                              <w:marBottom w:val="0"/>
                                              <w:divBdr>
                                                <w:top w:val="none" w:sz="0" w:space="0" w:color="auto"/>
                                                <w:left w:val="none" w:sz="0" w:space="0" w:color="auto"/>
                                                <w:bottom w:val="none" w:sz="0" w:space="0" w:color="auto"/>
                                                <w:right w:val="none" w:sz="0" w:space="0" w:color="auto"/>
                                              </w:divBdr>
                                              <w:divsChild>
                                                <w:div w:id="1878271820">
                                                  <w:marLeft w:val="0"/>
                                                  <w:marRight w:val="0"/>
                                                  <w:marTop w:val="0"/>
                                                  <w:marBottom w:val="0"/>
                                                  <w:divBdr>
                                                    <w:top w:val="none" w:sz="0" w:space="0" w:color="auto"/>
                                                    <w:left w:val="none" w:sz="0" w:space="0" w:color="auto"/>
                                                    <w:bottom w:val="none" w:sz="0" w:space="0" w:color="auto"/>
                                                    <w:right w:val="none" w:sz="0" w:space="0" w:color="auto"/>
                                                  </w:divBdr>
                                                  <w:divsChild>
                                                    <w:div w:id="1173647104">
                                                      <w:marLeft w:val="0"/>
                                                      <w:marRight w:val="0"/>
                                                      <w:marTop w:val="0"/>
                                                      <w:marBottom w:val="0"/>
                                                      <w:divBdr>
                                                        <w:top w:val="none" w:sz="0" w:space="0" w:color="auto"/>
                                                        <w:left w:val="none" w:sz="0" w:space="0" w:color="auto"/>
                                                        <w:bottom w:val="none" w:sz="0" w:space="0" w:color="auto"/>
                                                        <w:right w:val="none" w:sz="0" w:space="0" w:color="auto"/>
                                                      </w:divBdr>
                                                      <w:divsChild>
                                                        <w:div w:id="1808008294">
                                                          <w:marLeft w:val="0"/>
                                                          <w:marRight w:val="0"/>
                                                          <w:marTop w:val="0"/>
                                                          <w:marBottom w:val="240"/>
                                                          <w:divBdr>
                                                            <w:top w:val="none" w:sz="0" w:space="0" w:color="auto"/>
                                                            <w:left w:val="none" w:sz="0" w:space="0" w:color="auto"/>
                                                            <w:bottom w:val="none" w:sz="0" w:space="0" w:color="auto"/>
                                                            <w:right w:val="none" w:sz="0" w:space="0" w:color="auto"/>
                                                          </w:divBdr>
                                                          <w:divsChild>
                                                            <w:div w:id="1562444900">
                                                              <w:marLeft w:val="0"/>
                                                              <w:marRight w:val="0"/>
                                                              <w:marTop w:val="0"/>
                                                              <w:marBottom w:val="0"/>
                                                              <w:divBdr>
                                                                <w:top w:val="none" w:sz="0" w:space="0" w:color="auto"/>
                                                                <w:left w:val="none" w:sz="0" w:space="0" w:color="auto"/>
                                                                <w:bottom w:val="none" w:sz="0" w:space="0" w:color="auto"/>
                                                                <w:right w:val="none" w:sz="0" w:space="0" w:color="auto"/>
                                                              </w:divBdr>
                                                              <w:divsChild>
                                                                <w:div w:id="101661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475255">
      <w:bodyDiv w:val="1"/>
      <w:marLeft w:val="0"/>
      <w:marRight w:val="0"/>
      <w:marTop w:val="0"/>
      <w:marBottom w:val="0"/>
      <w:divBdr>
        <w:top w:val="none" w:sz="0" w:space="0" w:color="auto"/>
        <w:left w:val="none" w:sz="0" w:space="0" w:color="auto"/>
        <w:bottom w:val="none" w:sz="0" w:space="0" w:color="auto"/>
        <w:right w:val="none" w:sz="0" w:space="0" w:color="auto"/>
      </w:divBdr>
    </w:div>
    <w:div w:id="994988468">
      <w:bodyDiv w:val="1"/>
      <w:marLeft w:val="0"/>
      <w:marRight w:val="0"/>
      <w:marTop w:val="0"/>
      <w:marBottom w:val="0"/>
      <w:divBdr>
        <w:top w:val="none" w:sz="0" w:space="0" w:color="auto"/>
        <w:left w:val="none" w:sz="0" w:space="0" w:color="auto"/>
        <w:bottom w:val="none" w:sz="0" w:space="0" w:color="auto"/>
        <w:right w:val="none" w:sz="0" w:space="0" w:color="auto"/>
      </w:divBdr>
    </w:div>
    <w:div w:id="1424573266">
      <w:bodyDiv w:val="1"/>
      <w:marLeft w:val="0"/>
      <w:marRight w:val="0"/>
      <w:marTop w:val="0"/>
      <w:marBottom w:val="0"/>
      <w:divBdr>
        <w:top w:val="none" w:sz="0" w:space="0" w:color="auto"/>
        <w:left w:val="none" w:sz="0" w:space="0" w:color="auto"/>
        <w:bottom w:val="none" w:sz="0" w:space="0" w:color="auto"/>
        <w:right w:val="none" w:sz="0" w:space="0" w:color="auto"/>
      </w:divBdr>
      <w:divsChild>
        <w:div w:id="310907163">
          <w:marLeft w:val="0"/>
          <w:marRight w:val="0"/>
          <w:marTop w:val="0"/>
          <w:marBottom w:val="0"/>
          <w:divBdr>
            <w:top w:val="none" w:sz="0" w:space="0" w:color="auto"/>
            <w:left w:val="none" w:sz="0" w:space="0" w:color="auto"/>
            <w:bottom w:val="none" w:sz="0" w:space="0" w:color="auto"/>
            <w:right w:val="none" w:sz="0" w:space="0" w:color="auto"/>
          </w:divBdr>
          <w:divsChild>
            <w:div w:id="1259487617">
              <w:marLeft w:val="0"/>
              <w:marRight w:val="0"/>
              <w:marTop w:val="0"/>
              <w:marBottom w:val="0"/>
              <w:divBdr>
                <w:top w:val="none" w:sz="0" w:space="0" w:color="auto"/>
                <w:left w:val="none" w:sz="0" w:space="0" w:color="auto"/>
                <w:bottom w:val="none" w:sz="0" w:space="0" w:color="auto"/>
                <w:right w:val="none" w:sz="0" w:space="0" w:color="auto"/>
              </w:divBdr>
              <w:divsChild>
                <w:div w:id="610547935">
                  <w:marLeft w:val="0"/>
                  <w:marRight w:val="0"/>
                  <w:marTop w:val="1200"/>
                  <w:marBottom w:val="0"/>
                  <w:divBdr>
                    <w:top w:val="none" w:sz="0" w:space="0" w:color="auto"/>
                    <w:left w:val="none" w:sz="0" w:space="0" w:color="auto"/>
                    <w:bottom w:val="none" w:sz="0" w:space="0" w:color="auto"/>
                    <w:right w:val="none" w:sz="0" w:space="0" w:color="auto"/>
                  </w:divBdr>
                  <w:divsChild>
                    <w:div w:id="1183670013">
                      <w:marLeft w:val="0"/>
                      <w:marRight w:val="0"/>
                      <w:marTop w:val="0"/>
                      <w:marBottom w:val="0"/>
                      <w:divBdr>
                        <w:top w:val="none" w:sz="0" w:space="0" w:color="auto"/>
                        <w:left w:val="none" w:sz="0" w:space="0" w:color="auto"/>
                        <w:bottom w:val="none" w:sz="0" w:space="0" w:color="auto"/>
                        <w:right w:val="none" w:sz="0" w:space="0" w:color="auto"/>
                      </w:divBdr>
                      <w:divsChild>
                        <w:div w:id="786772861">
                          <w:marLeft w:val="0"/>
                          <w:marRight w:val="0"/>
                          <w:marTop w:val="0"/>
                          <w:marBottom w:val="0"/>
                          <w:divBdr>
                            <w:top w:val="none" w:sz="0" w:space="0" w:color="auto"/>
                            <w:left w:val="none" w:sz="0" w:space="0" w:color="auto"/>
                            <w:bottom w:val="none" w:sz="0" w:space="0" w:color="auto"/>
                            <w:right w:val="none" w:sz="0" w:space="0" w:color="auto"/>
                          </w:divBdr>
                          <w:divsChild>
                            <w:div w:id="1463157898">
                              <w:marLeft w:val="0"/>
                              <w:marRight w:val="0"/>
                              <w:marTop w:val="0"/>
                              <w:marBottom w:val="0"/>
                              <w:divBdr>
                                <w:top w:val="none" w:sz="0" w:space="0" w:color="auto"/>
                                <w:left w:val="none" w:sz="0" w:space="0" w:color="auto"/>
                                <w:bottom w:val="none" w:sz="0" w:space="0" w:color="auto"/>
                                <w:right w:val="none" w:sz="0" w:space="0" w:color="auto"/>
                              </w:divBdr>
                              <w:divsChild>
                                <w:div w:id="1338581991">
                                  <w:marLeft w:val="0"/>
                                  <w:marRight w:val="0"/>
                                  <w:marTop w:val="0"/>
                                  <w:marBottom w:val="0"/>
                                  <w:divBdr>
                                    <w:top w:val="none" w:sz="0" w:space="0" w:color="auto"/>
                                    <w:left w:val="none" w:sz="0" w:space="0" w:color="auto"/>
                                    <w:bottom w:val="none" w:sz="0" w:space="0" w:color="auto"/>
                                    <w:right w:val="none" w:sz="0" w:space="0" w:color="auto"/>
                                  </w:divBdr>
                                  <w:divsChild>
                                    <w:div w:id="276065123">
                                      <w:marLeft w:val="0"/>
                                      <w:marRight w:val="0"/>
                                      <w:marTop w:val="0"/>
                                      <w:marBottom w:val="0"/>
                                      <w:divBdr>
                                        <w:top w:val="none" w:sz="0" w:space="0" w:color="auto"/>
                                        <w:left w:val="none" w:sz="0" w:space="0" w:color="auto"/>
                                        <w:bottom w:val="none" w:sz="0" w:space="0" w:color="auto"/>
                                        <w:right w:val="none" w:sz="0" w:space="0" w:color="auto"/>
                                      </w:divBdr>
                                      <w:divsChild>
                                        <w:div w:id="1562790737">
                                          <w:marLeft w:val="0"/>
                                          <w:marRight w:val="0"/>
                                          <w:marTop w:val="0"/>
                                          <w:marBottom w:val="0"/>
                                          <w:divBdr>
                                            <w:top w:val="none" w:sz="0" w:space="0" w:color="auto"/>
                                            <w:left w:val="none" w:sz="0" w:space="0" w:color="auto"/>
                                            <w:bottom w:val="none" w:sz="0" w:space="0" w:color="auto"/>
                                            <w:right w:val="none" w:sz="0" w:space="0" w:color="auto"/>
                                          </w:divBdr>
                                          <w:divsChild>
                                            <w:div w:id="1194029493">
                                              <w:marLeft w:val="0"/>
                                              <w:marRight w:val="0"/>
                                              <w:marTop w:val="0"/>
                                              <w:marBottom w:val="0"/>
                                              <w:divBdr>
                                                <w:top w:val="none" w:sz="0" w:space="0" w:color="auto"/>
                                                <w:left w:val="none" w:sz="0" w:space="0" w:color="auto"/>
                                                <w:bottom w:val="none" w:sz="0" w:space="0" w:color="auto"/>
                                                <w:right w:val="none" w:sz="0" w:space="0" w:color="auto"/>
                                              </w:divBdr>
                                              <w:divsChild>
                                                <w:div w:id="1078554520">
                                                  <w:marLeft w:val="0"/>
                                                  <w:marRight w:val="0"/>
                                                  <w:marTop w:val="0"/>
                                                  <w:marBottom w:val="0"/>
                                                  <w:divBdr>
                                                    <w:top w:val="none" w:sz="0" w:space="0" w:color="auto"/>
                                                    <w:left w:val="none" w:sz="0" w:space="0" w:color="auto"/>
                                                    <w:bottom w:val="none" w:sz="0" w:space="0" w:color="auto"/>
                                                    <w:right w:val="none" w:sz="0" w:space="0" w:color="auto"/>
                                                  </w:divBdr>
                                                  <w:divsChild>
                                                    <w:div w:id="283316590">
                                                      <w:marLeft w:val="0"/>
                                                      <w:marRight w:val="0"/>
                                                      <w:marTop w:val="0"/>
                                                      <w:marBottom w:val="0"/>
                                                      <w:divBdr>
                                                        <w:top w:val="none" w:sz="0" w:space="0" w:color="auto"/>
                                                        <w:left w:val="none" w:sz="0" w:space="0" w:color="auto"/>
                                                        <w:bottom w:val="none" w:sz="0" w:space="0" w:color="auto"/>
                                                        <w:right w:val="none" w:sz="0" w:space="0" w:color="auto"/>
                                                      </w:divBdr>
                                                      <w:divsChild>
                                                        <w:div w:id="73998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852235">
      <w:bodyDiv w:val="1"/>
      <w:marLeft w:val="0"/>
      <w:marRight w:val="0"/>
      <w:marTop w:val="0"/>
      <w:marBottom w:val="0"/>
      <w:divBdr>
        <w:top w:val="none" w:sz="0" w:space="0" w:color="auto"/>
        <w:left w:val="none" w:sz="0" w:space="0" w:color="auto"/>
        <w:bottom w:val="none" w:sz="0" w:space="0" w:color="auto"/>
        <w:right w:val="none" w:sz="0" w:space="0" w:color="auto"/>
      </w:divBdr>
    </w:div>
    <w:div w:id="1976324772">
      <w:bodyDiv w:val="1"/>
      <w:marLeft w:val="0"/>
      <w:marRight w:val="0"/>
      <w:marTop w:val="0"/>
      <w:marBottom w:val="0"/>
      <w:divBdr>
        <w:top w:val="none" w:sz="0" w:space="0" w:color="auto"/>
        <w:left w:val="none" w:sz="0" w:space="0" w:color="auto"/>
        <w:bottom w:val="none" w:sz="0" w:space="0" w:color="auto"/>
        <w:right w:val="none" w:sz="0" w:space="0" w:color="auto"/>
      </w:divBdr>
    </w:div>
    <w:div w:id="19977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ensionsmyndigheten.se/Aldreforsorjningsstod.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pensionsmyndigheten.se/BTP.htm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pensionsmyndigheten.s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pensionsmyndigheten.se/Aldreforsorjningsstod.html" TargetMode="External"/><Relationship Id="rId2" Type="http://schemas.openxmlformats.org/officeDocument/2006/relationships/hyperlink" Target="https://secure.pensionsmyndigheten.se/BTP.html" TargetMode="External"/><Relationship Id="rId1" Type="http://schemas.openxmlformats.org/officeDocument/2006/relationships/hyperlink" Target="http://secure.pensionsmyndigheten.se/GarantipensionensStorlek.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0104aa\AppData\Roaming\Microsoft\Mallar\PM.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E6"/>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2CC0-6BD9-4900-9C7A-F55514101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120</TotalTime>
  <Pages>4</Pages>
  <Words>733</Words>
  <Characters>4779</Characters>
  <Application>Microsoft Office Word</Application>
  <DocSecurity>0</DocSecurity>
  <Lines>154</Lines>
  <Paragraphs>102</Paragraphs>
  <ScaleCrop>false</ScaleCrop>
  <HeadingPairs>
    <vt:vector size="2" baseType="variant">
      <vt:variant>
        <vt:lpstr>Rubrik</vt:lpstr>
      </vt:variant>
      <vt:variant>
        <vt:i4>1</vt:i4>
      </vt:variant>
    </vt:vector>
  </HeadingPairs>
  <TitlesOfParts>
    <vt:vector size="1" baseType="lpstr">
      <vt:lpstr>PM</vt:lpstr>
    </vt:vector>
  </TitlesOfParts>
  <Company>Riksdagen</Company>
  <LinksUpToDate>false</LinksUpToDate>
  <CharactersWithSpaces>5410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dc:title>
  <dc:subject/>
  <dc:creator>Anna Enström Järleborg</dc:creator>
  <cp:keywords/>
  <cp:lastModifiedBy>Anna Enström Järleborg</cp:lastModifiedBy>
  <cp:revision>42</cp:revision>
  <dcterms:created xsi:type="dcterms:W3CDTF">2014-03-10T16:32:00Z</dcterms:created>
  <dcterms:modified xsi:type="dcterms:W3CDTF">2014-03-12T13:28:00Z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5.12</vt:lpwstr>
  </property>
</Properties>
</file>